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CD6" w14:textId="291C9A70" w:rsidR="00F07B61" w:rsidRDefault="00F07B61" w:rsidP="009443B2">
      <w:pPr>
        <w:ind w:left="-851" w:right="-1000"/>
      </w:pPr>
    </w:p>
    <w:p w14:paraId="495D731C" w14:textId="3AE79B5F" w:rsidR="00F07B61" w:rsidRPr="00F07B61" w:rsidRDefault="00F07B61" w:rsidP="0096737A">
      <w:pPr>
        <w:jc w:val="center"/>
        <w:rPr>
          <w:b/>
          <w:bCs/>
          <w:u w:val="single"/>
        </w:rPr>
      </w:pPr>
      <w:r>
        <w:rPr>
          <w:b/>
          <w:bCs/>
          <w:u w:val="single"/>
        </w:rPr>
        <w:t>OFERTA DE LÍNAS DE TFG PARA EDUCACIÓN SOCIAL CURSO 2022-23</w:t>
      </w:r>
    </w:p>
    <w:p w14:paraId="5C025AA2" w14:textId="615BDFCD" w:rsidR="00F07B61" w:rsidRDefault="00F07B61"/>
    <w:p w14:paraId="1CA5AB58" w14:textId="77777777" w:rsidR="00F07B61" w:rsidRDefault="00F07B61" w:rsidP="00046981">
      <w:pPr>
        <w:ind w:right="-1283"/>
      </w:pPr>
    </w:p>
    <w:tbl>
      <w:tblPr>
        <w:tblStyle w:val="Tablaconcuadrcula"/>
        <w:tblW w:w="9113" w:type="dxa"/>
        <w:jc w:val="center"/>
        <w:tblLayout w:type="fixed"/>
        <w:tblLook w:val="04A0" w:firstRow="1" w:lastRow="0" w:firstColumn="1" w:lastColumn="0" w:noHBand="0" w:noVBand="1"/>
      </w:tblPr>
      <w:tblGrid>
        <w:gridCol w:w="562"/>
        <w:gridCol w:w="1655"/>
        <w:gridCol w:w="1518"/>
        <w:gridCol w:w="1876"/>
        <w:gridCol w:w="3502"/>
      </w:tblGrid>
      <w:tr w:rsidR="00E42559" w14:paraId="77535AF1" w14:textId="77777777" w:rsidTr="004B2FBA">
        <w:trPr>
          <w:jc w:val="center"/>
        </w:trPr>
        <w:tc>
          <w:tcPr>
            <w:tcW w:w="562" w:type="dxa"/>
            <w:tcBorders>
              <w:bottom w:val="single" w:sz="4" w:space="0" w:color="auto"/>
            </w:tcBorders>
            <w:shd w:val="clear" w:color="auto" w:fill="D0CECE" w:themeFill="background2" w:themeFillShade="E6"/>
          </w:tcPr>
          <w:p w14:paraId="2CAE3C81" w14:textId="77777777" w:rsidR="00E42559" w:rsidRDefault="00E42559" w:rsidP="00670BAF"/>
        </w:tc>
        <w:tc>
          <w:tcPr>
            <w:tcW w:w="1655" w:type="dxa"/>
            <w:tcBorders>
              <w:bottom w:val="single" w:sz="4" w:space="0" w:color="auto"/>
            </w:tcBorders>
            <w:shd w:val="clear" w:color="auto" w:fill="D0CECE" w:themeFill="background2" w:themeFillShade="E6"/>
          </w:tcPr>
          <w:p w14:paraId="3353F0D0" w14:textId="77777777" w:rsidR="00E42559" w:rsidRPr="003B4065" w:rsidRDefault="00E42559" w:rsidP="00670BAF">
            <w:pPr>
              <w:jc w:val="center"/>
              <w:rPr>
                <w:b/>
                <w:bCs/>
              </w:rPr>
            </w:pPr>
            <w:r w:rsidRPr="003B4065">
              <w:rPr>
                <w:b/>
                <w:bCs/>
              </w:rPr>
              <w:t>Título del Trabajo</w:t>
            </w:r>
          </w:p>
        </w:tc>
        <w:tc>
          <w:tcPr>
            <w:tcW w:w="1518" w:type="dxa"/>
            <w:tcBorders>
              <w:bottom w:val="single" w:sz="4" w:space="0" w:color="auto"/>
            </w:tcBorders>
            <w:shd w:val="clear" w:color="auto" w:fill="D0CECE" w:themeFill="background2" w:themeFillShade="E6"/>
          </w:tcPr>
          <w:p w14:paraId="364A2E22" w14:textId="77777777" w:rsidR="00E42559" w:rsidRPr="003B4065" w:rsidRDefault="00E42559" w:rsidP="00670BAF">
            <w:pPr>
              <w:jc w:val="center"/>
              <w:rPr>
                <w:b/>
                <w:bCs/>
              </w:rPr>
            </w:pPr>
            <w:r w:rsidRPr="003B4065">
              <w:rPr>
                <w:b/>
                <w:bCs/>
              </w:rPr>
              <w:t>Tutor</w:t>
            </w:r>
          </w:p>
        </w:tc>
        <w:tc>
          <w:tcPr>
            <w:tcW w:w="1876" w:type="dxa"/>
            <w:tcBorders>
              <w:bottom w:val="single" w:sz="4" w:space="0" w:color="auto"/>
            </w:tcBorders>
            <w:shd w:val="clear" w:color="auto" w:fill="D0CECE" w:themeFill="background2" w:themeFillShade="E6"/>
          </w:tcPr>
          <w:p w14:paraId="56D8AEA2" w14:textId="77777777" w:rsidR="00E42559" w:rsidRPr="003B4065" w:rsidRDefault="00E42559" w:rsidP="00670BAF">
            <w:pPr>
              <w:jc w:val="center"/>
              <w:rPr>
                <w:b/>
                <w:bCs/>
              </w:rPr>
            </w:pPr>
            <w:r w:rsidRPr="003B4065">
              <w:rPr>
                <w:b/>
                <w:bCs/>
              </w:rPr>
              <w:t>Departamento</w:t>
            </w:r>
          </w:p>
        </w:tc>
        <w:tc>
          <w:tcPr>
            <w:tcW w:w="3502" w:type="dxa"/>
            <w:tcBorders>
              <w:bottom w:val="single" w:sz="4" w:space="0" w:color="auto"/>
            </w:tcBorders>
            <w:shd w:val="clear" w:color="auto" w:fill="D0CECE" w:themeFill="background2" w:themeFillShade="E6"/>
          </w:tcPr>
          <w:p w14:paraId="51B0665A" w14:textId="77777777" w:rsidR="00E42559" w:rsidRPr="003B4065" w:rsidRDefault="00E42559" w:rsidP="00670BAF">
            <w:pPr>
              <w:jc w:val="center"/>
              <w:rPr>
                <w:b/>
                <w:bCs/>
              </w:rPr>
            </w:pPr>
            <w:r w:rsidRPr="003B4065">
              <w:rPr>
                <w:b/>
                <w:bCs/>
              </w:rPr>
              <w:t>Descripción</w:t>
            </w:r>
          </w:p>
        </w:tc>
      </w:tr>
      <w:tr w:rsidR="00D5722F" w14:paraId="7DDFCD3F" w14:textId="77777777" w:rsidTr="00306971">
        <w:trPr>
          <w:jc w:val="center"/>
        </w:trPr>
        <w:tc>
          <w:tcPr>
            <w:tcW w:w="562" w:type="dxa"/>
            <w:shd w:val="clear" w:color="auto" w:fill="C5E0B3" w:themeFill="accent6" w:themeFillTint="66"/>
          </w:tcPr>
          <w:p w14:paraId="0D47F6DA" w14:textId="2C7B8872" w:rsidR="00D5722F" w:rsidRDefault="00D5722F" w:rsidP="00670BAF">
            <w:r>
              <w:t>8</w:t>
            </w:r>
          </w:p>
        </w:tc>
        <w:tc>
          <w:tcPr>
            <w:tcW w:w="1655" w:type="dxa"/>
            <w:shd w:val="clear" w:color="auto" w:fill="C5E0B3" w:themeFill="accent6" w:themeFillTint="66"/>
          </w:tcPr>
          <w:p w14:paraId="50E74ACF" w14:textId="1A2E4A85"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Resolución de conflictos</w:t>
            </w:r>
          </w:p>
        </w:tc>
        <w:tc>
          <w:tcPr>
            <w:tcW w:w="1518" w:type="dxa"/>
            <w:shd w:val="clear" w:color="auto" w:fill="C5E0B3" w:themeFill="accent6" w:themeFillTint="66"/>
          </w:tcPr>
          <w:p w14:paraId="79F1B2B3" w14:textId="7CED8044"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M.ª Elena Parra González</w:t>
            </w:r>
          </w:p>
        </w:tc>
        <w:tc>
          <w:tcPr>
            <w:tcW w:w="1876" w:type="dxa"/>
            <w:shd w:val="clear" w:color="auto" w:fill="C5E0B3" w:themeFill="accent6" w:themeFillTint="66"/>
          </w:tcPr>
          <w:p w14:paraId="5CFD29FA" w14:textId="3E5EBA7F" w:rsidR="00D5722F" w:rsidRPr="00F07B61" w:rsidRDefault="00D5722F" w:rsidP="00670BAF">
            <w:pPr>
              <w:rPr>
                <w:rFonts w:asciiTheme="minorHAnsi" w:hAnsiTheme="minorHAnsi" w:cstheme="minorHAnsi"/>
                <w:sz w:val="16"/>
                <w:szCs w:val="1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74F88A55" w14:textId="53257579"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 xml:space="preserve">Resolución de conflictos: la mediación. Tratará sobre los modos de resolución de conflictos y distintas formas de gestionarlos, basándonos en la mediación, en el ámbito </w:t>
            </w:r>
            <w:proofErr w:type="spellStart"/>
            <w:r w:rsidRPr="00F07B61">
              <w:rPr>
                <w:rFonts w:asciiTheme="minorHAnsi" w:hAnsiTheme="minorHAnsi" w:cstheme="minorHAnsi"/>
                <w:sz w:val="16"/>
                <w:szCs w:val="16"/>
              </w:rPr>
              <w:t>sociocomunitario</w:t>
            </w:r>
            <w:proofErr w:type="spellEnd"/>
            <w:r w:rsidRPr="00F07B61">
              <w:rPr>
                <w:rFonts w:asciiTheme="minorHAnsi" w:hAnsiTheme="minorHAnsi" w:cstheme="minorHAnsi"/>
                <w:sz w:val="16"/>
                <w:szCs w:val="16"/>
              </w:rPr>
              <w:t>, en contextos multiculturales, etc.</w:t>
            </w:r>
          </w:p>
        </w:tc>
      </w:tr>
      <w:tr w:rsidR="00D5722F" w14:paraId="5F9656CF" w14:textId="77777777" w:rsidTr="00CA7B92">
        <w:trPr>
          <w:jc w:val="center"/>
        </w:trPr>
        <w:tc>
          <w:tcPr>
            <w:tcW w:w="562" w:type="dxa"/>
            <w:shd w:val="clear" w:color="auto" w:fill="C5E0B3" w:themeFill="accent6" w:themeFillTint="66"/>
          </w:tcPr>
          <w:p w14:paraId="0DD1D929" w14:textId="4BE273FA" w:rsidR="00D5722F" w:rsidRDefault="00D5722F" w:rsidP="00670BAF">
            <w:r>
              <w:t>9</w:t>
            </w:r>
          </w:p>
        </w:tc>
        <w:tc>
          <w:tcPr>
            <w:tcW w:w="1655" w:type="dxa"/>
            <w:shd w:val="clear" w:color="auto" w:fill="C5E0B3" w:themeFill="accent6" w:themeFillTint="66"/>
          </w:tcPr>
          <w:p w14:paraId="4684A354" w14:textId="0462672F" w:rsidR="00D5722F" w:rsidRPr="00F07B61" w:rsidRDefault="00D5722F" w:rsidP="00670BAF">
            <w:pPr>
              <w:rPr>
                <w:rFonts w:asciiTheme="minorHAnsi" w:hAnsiTheme="minorHAnsi" w:cstheme="minorHAnsi"/>
                <w:sz w:val="16"/>
                <w:szCs w:val="16"/>
              </w:rPr>
            </w:pPr>
            <w:r w:rsidRPr="00F07B61">
              <w:rPr>
                <w:rFonts w:asciiTheme="minorHAnsi" w:eastAsia="Verdana" w:hAnsiTheme="minorHAnsi" w:cstheme="minorHAnsi"/>
                <w:color w:val="2C363A"/>
                <w:sz w:val="16"/>
                <w:szCs w:val="16"/>
              </w:rPr>
              <w:t>Investigación-acción: propuestas de mejora de las necesidades de grupos específicos en base a sus necesidades.</w:t>
            </w:r>
          </w:p>
        </w:tc>
        <w:tc>
          <w:tcPr>
            <w:tcW w:w="1518" w:type="dxa"/>
            <w:shd w:val="clear" w:color="auto" w:fill="C5E0B3" w:themeFill="accent6" w:themeFillTint="66"/>
          </w:tcPr>
          <w:p w14:paraId="697AB883" w14:textId="4F377EC0" w:rsidR="00D5722F" w:rsidRPr="00542BFD" w:rsidRDefault="00D5722F" w:rsidP="00670BAF">
            <w:pPr>
              <w:rPr>
                <w:rFonts w:asciiTheme="minorHAnsi" w:hAnsiTheme="minorHAnsi" w:cstheme="minorHAnsi"/>
                <w:sz w:val="16"/>
                <w:szCs w:val="16"/>
                <w:shd w:val="clear" w:color="auto" w:fill="FFE599" w:themeFill="accent4" w:themeFillTint="66"/>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Dolores Pistón</w:t>
            </w:r>
            <w:r>
              <w:rPr>
                <w:rFonts w:asciiTheme="minorHAnsi" w:hAnsiTheme="minorHAnsi" w:cstheme="minorHAnsi"/>
                <w:sz w:val="16"/>
                <w:szCs w:val="16"/>
              </w:rPr>
              <w:t xml:space="preserve"> </w:t>
            </w:r>
            <w:r w:rsidRPr="00F07B61">
              <w:rPr>
                <w:rFonts w:asciiTheme="minorHAnsi" w:hAnsiTheme="minorHAnsi" w:cstheme="minorHAnsi"/>
                <w:sz w:val="16"/>
                <w:szCs w:val="16"/>
              </w:rPr>
              <w:t>Rodríguez</w:t>
            </w:r>
          </w:p>
        </w:tc>
        <w:tc>
          <w:tcPr>
            <w:tcW w:w="1876" w:type="dxa"/>
            <w:shd w:val="clear" w:color="auto" w:fill="C5E0B3" w:themeFill="accent6" w:themeFillTint="66"/>
          </w:tcPr>
          <w:p w14:paraId="2405621E" w14:textId="519F989B" w:rsidR="00D5722F" w:rsidRPr="00542BFD" w:rsidRDefault="00D5722F" w:rsidP="00670BAF">
            <w:pPr>
              <w:rPr>
                <w:rFonts w:asciiTheme="minorHAnsi" w:hAnsiTheme="minorHAnsi" w:cstheme="minorHAnsi"/>
                <w:sz w:val="16"/>
                <w:szCs w:val="16"/>
                <w:shd w:val="clear" w:color="auto" w:fill="FFE599" w:themeFill="accent4" w:themeFillTint="6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7D91DB48" w14:textId="72AE5F40" w:rsidR="00D5722F" w:rsidRPr="00F07B61" w:rsidRDefault="00D5722F" w:rsidP="00670BAF">
            <w:pPr>
              <w:rPr>
                <w:rFonts w:asciiTheme="minorHAnsi" w:hAnsiTheme="minorHAnsi" w:cstheme="minorHAnsi"/>
                <w:sz w:val="16"/>
                <w:szCs w:val="16"/>
              </w:rPr>
            </w:pPr>
          </w:p>
        </w:tc>
      </w:tr>
      <w:tr w:rsidR="00D5722F" w14:paraId="568D3FE2" w14:textId="77777777" w:rsidTr="00073A13">
        <w:trPr>
          <w:jc w:val="center"/>
        </w:trPr>
        <w:tc>
          <w:tcPr>
            <w:tcW w:w="562" w:type="dxa"/>
            <w:shd w:val="clear" w:color="auto" w:fill="C5E0B3" w:themeFill="accent6" w:themeFillTint="66"/>
          </w:tcPr>
          <w:p w14:paraId="258D3491" w14:textId="7563DEE7" w:rsidR="00D5722F" w:rsidRDefault="00D5722F" w:rsidP="00670BAF">
            <w:r>
              <w:t>10</w:t>
            </w:r>
          </w:p>
        </w:tc>
        <w:tc>
          <w:tcPr>
            <w:tcW w:w="1655" w:type="dxa"/>
            <w:shd w:val="clear" w:color="auto" w:fill="C5E0B3" w:themeFill="accent6" w:themeFillTint="66"/>
          </w:tcPr>
          <w:p w14:paraId="352671B3" w14:textId="1180B4B5" w:rsidR="00D5722F" w:rsidRPr="00F07B61" w:rsidRDefault="00D5722F" w:rsidP="00670BAF">
            <w:pPr>
              <w:rPr>
                <w:rFonts w:asciiTheme="minorHAnsi" w:hAnsiTheme="minorHAnsi" w:cstheme="minorHAnsi"/>
                <w:sz w:val="16"/>
                <w:szCs w:val="16"/>
              </w:rPr>
            </w:pPr>
            <w:r w:rsidRPr="00F07B61">
              <w:rPr>
                <w:rFonts w:asciiTheme="minorHAnsi" w:eastAsia="Verdana" w:hAnsiTheme="minorHAnsi" w:cstheme="minorHAnsi"/>
                <w:color w:val="2C363A"/>
                <w:sz w:val="16"/>
                <w:szCs w:val="16"/>
              </w:rPr>
              <w:t>Diseño de programas de orientación laboral y mejora de habilidades sociales e integración social en colectivos vulnerables.</w:t>
            </w:r>
          </w:p>
        </w:tc>
        <w:tc>
          <w:tcPr>
            <w:tcW w:w="1518" w:type="dxa"/>
            <w:shd w:val="clear" w:color="auto" w:fill="C5E0B3" w:themeFill="accent6" w:themeFillTint="66"/>
          </w:tcPr>
          <w:p w14:paraId="1EE49D65" w14:textId="74C196B6" w:rsidR="00D5722F" w:rsidRPr="00542BFD" w:rsidRDefault="00D5722F" w:rsidP="00E42559">
            <w:pPr>
              <w:rPr>
                <w:rFonts w:asciiTheme="minorHAnsi" w:hAnsiTheme="minorHAnsi" w:cstheme="minorHAnsi"/>
                <w:sz w:val="16"/>
                <w:szCs w:val="16"/>
                <w:shd w:val="clear" w:color="auto" w:fill="FFE599" w:themeFill="accent4" w:themeFillTint="66"/>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Dolores Pistón</w:t>
            </w:r>
            <w:r>
              <w:rPr>
                <w:rFonts w:asciiTheme="minorHAnsi" w:hAnsiTheme="minorHAnsi" w:cstheme="minorHAnsi"/>
                <w:sz w:val="16"/>
                <w:szCs w:val="16"/>
              </w:rPr>
              <w:t xml:space="preserve"> </w:t>
            </w:r>
            <w:r w:rsidRPr="00F07B61">
              <w:rPr>
                <w:rFonts w:asciiTheme="minorHAnsi" w:hAnsiTheme="minorHAnsi" w:cstheme="minorHAnsi"/>
                <w:sz w:val="16"/>
                <w:szCs w:val="16"/>
              </w:rPr>
              <w:t>Rodríguez</w:t>
            </w:r>
          </w:p>
        </w:tc>
        <w:tc>
          <w:tcPr>
            <w:tcW w:w="1876" w:type="dxa"/>
            <w:shd w:val="clear" w:color="auto" w:fill="C5E0B3" w:themeFill="accent6" w:themeFillTint="66"/>
          </w:tcPr>
          <w:p w14:paraId="4376FC77" w14:textId="70BC5EEC" w:rsidR="00D5722F" w:rsidRPr="00542BFD" w:rsidRDefault="00D5722F" w:rsidP="00670BAF">
            <w:pPr>
              <w:rPr>
                <w:rFonts w:asciiTheme="minorHAnsi" w:hAnsiTheme="minorHAnsi" w:cstheme="minorHAnsi"/>
                <w:sz w:val="16"/>
                <w:szCs w:val="16"/>
                <w:shd w:val="clear" w:color="auto" w:fill="FFE599" w:themeFill="accent4" w:themeFillTint="6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46C033BA" w14:textId="0723B475" w:rsidR="00D5722F" w:rsidRPr="00F07B61" w:rsidRDefault="00D5722F" w:rsidP="00670BAF">
            <w:pPr>
              <w:rPr>
                <w:rFonts w:asciiTheme="minorHAnsi" w:hAnsiTheme="minorHAnsi" w:cstheme="minorHAnsi"/>
                <w:sz w:val="16"/>
                <w:szCs w:val="16"/>
              </w:rPr>
            </w:pPr>
          </w:p>
        </w:tc>
      </w:tr>
      <w:tr w:rsidR="00D5722F" w14:paraId="717634D8" w14:textId="77777777" w:rsidTr="00306971">
        <w:trPr>
          <w:jc w:val="center"/>
        </w:trPr>
        <w:tc>
          <w:tcPr>
            <w:tcW w:w="562" w:type="dxa"/>
            <w:tcBorders>
              <w:bottom w:val="single" w:sz="4" w:space="0" w:color="auto"/>
            </w:tcBorders>
            <w:shd w:val="clear" w:color="auto" w:fill="D0CECE" w:themeFill="background2" w:themeFillShade="E6"/>
          </w:tcPr>
          <w:p w14:paraId="7D75670C" w14:textId="4FD02A73" w:rsidR="00D5722F" w:rsidRDefault="00D5722F" w:rsidP="00670BAF">
            <w:r>
              <w:t>21</w:t>
            </w:r>
          </w:p>
        </w:tc>
        <w:tc>
          <w:tcPr>
            <w:tcW w:w="1655" w:type="dxa"/>
            <w:tcBorders>
              <w:bottom w:val="single" w:sz="4" w:space="0" w:color="auto"/>
            </w:tcBorders>
            <w:shd w:val="clear" w:color="auto" w:fill="D0CECE" w:themeFill="background2" w:themeFillShade="E6"/>
          </w:tcPr>
          <w:p w14:paraId="28FAC160" w14:textId="1E77797C"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Los efectos de las desigualdades socioeconómicas en la educación</w:t>
            </w:r>
          </w:p>
        </w:tc>
        <w:tc>
          <w:tcPr>
            <w:tcW w:w="1518" w:type="dxa"/>
            <w:tcBorders>
              <w:bottom w:val="single" w:sz="4" w:space="0" w:color="auto"/>
            </w:tcBorders>
            <w:shd w:val="clear" w:color="auto" w:fill="D0CECE" w:themeFill="background2" w:themeFillShade="E6"/>
          </w:tcPr>
          <w:p w14:paraId="36D93F44" w14:textId="00DE1487"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José Miguel Cantón Gálvez</w:t>
            </w:r>
          </w:p>
        </w:tc>
        <w:tc>
          <w:tcPr>
            <w:tcW w:w="1876" w:type="dxa"/>
            <w:tcBorders>
              <w:bottom w:val="single" w:sz="4" w:space="0" w:color="auto"/>
            </w:tcBorders>
            <w:shd w:val="clear" w:color="auto" w:fill="D0CECE" w:themeFill="background2" w:themeFillShade="E6"/>
          </w:tcPr>
          <w:p w14:paraId="475CE0CE" w14:textId="6A30971B" w:rsidR="00D5722F" w:rsidRPr="00F07B61" w:rsidRDefault="00D5722F" w:rsidP="00670BAF">
            <w:pPr>
              <w:rPr>
                <w:rFonts w:asciiTheme="minorHAnsi" w:hAnsiTheme="minorHAnsi" w:cstheme="minorHAnsi"/>
                <w:sz w:val="16"/>
                <w:szCs w:val="16"/>
              </w:rPr>
            </w:pPr>
            <w:r w:rsidRPr="00F07B61">
              <w:rPr>
                <w:rFonts w:asciiTheme="minorHAnsi" w:eastAsia="Calibri" w:hAnsiTheme="minorHAnsi" w:cstheme="minorHAnsi"/>
                <w:sz w:val="16"/>
                <w:szCs w:val="16"/>
              </w:rPr>
              <w:t>Sociología</w:t>
            </w:r>
          </w:p>
        </w:tc>
        <w:tc>
          <w:tcPr>
            <w:tcW w:w="3502" w:type="dxa"/>
            <w:tcBorders>
              <w:bottom w:val="single" w:sz="4" w:space="0" w:color="auto"/>
            </w:tcBorders>
            <w:shd w:val="clear" w:color="auto" w:fill="D0CECE" w:themeFill="background2" w:themeFillShade="E6"/>
          </w:tcPr>
          <w:p w14:paraId="5E60AA03" w14:textId="77777777" w:rsidR="00D5722F" w:rsidRPr="00F07B61" w:rsidRDefault="00D5722F" w:rsidP="00AB23E6">
            <w:pPr>
              <w:rPr>
                <w:rFonts w:asciiTheme="minorHAnsi" w:hAnsiTheme="minorHAnsi" w:cstheme="minorHAnsi"/>
                <w:sz w:val="16"/>
                <w:szCs w:val="16"/>
              </w:rPr>
            </w:pPr>
            <w:r w:rsidRPr="00F07B61">
              <w:rPr>
                <w:rFonts w:asciiTheme="minorHAnsi" w:hAnsiTheme="minorHAnsi" w:cstheme="minorHAnsi"/>
                <w:sz w:val="16"/>
                <w:szCs w:val="16"/>
              </w:rPr>
              <w:t>Estudio de las desigualdades sociales desde una</w:t>
            </w:r>
          </w:p>
          <w:p w14:paraId="3D672D6D" w14:textId="77777777" w:rsidR="00D5722F" w:rsidRPr="00F07B61" w:rsidRDefault="00D5722F" w:rsidP="00AB23E6">
            <w:pPr>
              <w:rPr>
                <w:rFonts w:asciiTheme="minorHAnsi" w:hAnsiTheme="minorHAnsi" w:cstheme="minorHAnsi"/>
                <w:sz w:val="16"/>
                <w:szCs w:val="16"/>
              </w:rPr>
            </w:pPr>
            <w:r w:rsidRPr="00F07B61">
              <w:rPr>
                <w:rFonts w:asciiTheme="minorHAnsi" w:hAnsiTheme="minorHAnsi" w:cstheme="minorHAnsi"/>
                <w:sz w:val="16"/>
                <w:szCs w:val="16"/>
              </w:rPr>
              <w:t>perspectiva sociológica.</w:t>
            </w:r>
          </w:p>
          <w:p w14:paraId="3A467D7F" w14:textId="77777777" w:rsidR="00D5722F" w:rsidRPr="00F07B61" w:rsidRDefault="00D5722F" w:rsidP="00AB23E6">
            <w:pPr>
              <w:rPr>
                <w:rFonts w:asciiTheme="minorHAnsi" w:hAnsiTheme="minorHAnsi" w:cstheme="minorHAnsi"/>
                <w:sz w:val="16"/>
                <w:szCs w:val="16"/>
              </w:rPr>
            </w:pPr>
            <w:r w:rsidRPr="00F07B61">
              <w:rPr>
                <w:rFonts w:asciiTheme="minorHAnsi" w:hAnsiTheme="minorHAnsi" w:cstheme="minorHAnsi"/>
                <w:sz w:val="16"/>
                <w:szCs w:val="16"/>
              </w:rPr>
              <w:t>Los enfoques de investigación se pueden realizar en</w:t>
            </w:r>
          </w:p>
          <w:p w14:paraId="3D49553E" w14:textId="77777777" w:rsidR="00D5722F" w:rsidRPr="00F07B61" w:rsidRDefault="00D5722F" w:rsidP="00AB23E6">
            <w:pPr>
              <w:rPr>
                <w:rFonts w:asciiTheme="minorHAnsi" w:hAnsiTheme="minorHAnsi" w:cstheme="minorHAnsi"/>
                <w:sz w:val="16"/>
                <w:szCs w:val="16"/>
              </w:rPr>
            </w:pPr>
            <w:r w:rsidRPr="00F07B61">
              <w:rPr>
                <w:rFonts w:asciiTheme="minorHAnsi" w:hAnsiTheme="minorHAnsi" w:cstheme="minorHAnsi"/>
                <w:sz w:val="16"/>
                <w:szCs w:val="16"/>
              </w:rPr>
              <w:t>un ámbito social concreto (por ejemplo, desigualdades educativas) o desde una perspectiva multidimensional, abordando varios fenómenos para</w:t>
            </w:r>
          </w:p>
          <w:p w14:paraId="4157F8C6" w14:textId="77777777" w:rsidR="00D5722F" w:rsidRPr="00F07B61" w:rsidRDefault="00D5722F" w:rsidP="00AB23E6">
            <w:pPr>
              <w:rPr>
                <w:rFonts w:asciiTheme="minorHAnsi" w:hAnsiTheme="minorHAnsi" w:cstheme="minorHAnsi"/>
                <w:sz w:val="16"/>
                <w:szCs w:val="16"/>
              </w:rPr>
            </w:pPr>
            <w:r w:rsidRPr="00F07B61">
              <w:rPr>
                <w:rFonts w:asciiTheme="minorHAnsi" w:hAnsiTheme="minorHAnsi" w:cstheme="minorHAnsi"/>
                <w:sz w:val="16"/>
                <w:szCs w:val="16"/>
              </w:rPr>
              <w:t>explicar las desigualdades en un sector de la</w:t>
            </w:r>
          </w:p>
          <w:p w14:paraId="301D5C99" w14:textId="66EFA82F"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 xml:space="preserve">población, una región, </w:t>
            </w:r>
            <w:proofErr w:type="spellStart"/>
            <w:r w:rsidRPr="00F07B61">
              <w:rPr>
                <w:rFonts w:asciiTheme="minorHAnsi" w:hAnsiTheme="minorHAnsi" w:cstheme="minorHAnsi"/>
                <w:sz w:val="16"/>
                <w:szCs w:val="16"/>
              </w:rPr>
              <w:t>etc</w:t>
            </w:r>
            <w:proofErr w:type="spellEnd"/>
          </w:p>
        </w:tc>
      </w:tr>
      <w:tr w:rsidR="00D5722F" w14:paraId="7F10E02B" w14:textId="77777777" w:rsidTr="00306971">
        <w:trPr>
          <w:jc w:val="center"/>
        </w:trPr>
        <w:tc>
          <w:tcPr>
            <w:tcW w:w="562" w:type="dxa"/>
            <w:shd w:val="clear" w:color="auto" w:fill="D9E2F3" w:themeFill="accent1" w:themeFillTint="33"/>
          </w:tcPr>
          <w:p w14:paraId="5ED62573" w14:textId="7EA85C59" w:rsidR="00D5722F" w:rsidRDefault="00D5722F" w:rsidP="00670BAF">
            <w:r>
              <w:rPr>
                <w:shd w:val="clear" w:color="auto" w:fill="D9E2F3" w:themeFill="accent1" w:themeFillTint="33"/>
              </w:rPr>
              <w:t>22</w:t>
            </w:r>
          </w:p>
        </w:tc>
        <w:tc>
          <w:tcPr>
            <w:tcW w:w="1655" w:type="dxa"/>
            <w:shd w:val="clear" w:color="auto" w:fill="D9E2F3" w:themeFill="accent1" w:themeFillTint="33"/>
          </w:tcPr>
          <w:p w14:paraId="3EE34FE5" w14:textId="77777777"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Factores históricos y culturales del prejuicio hacia el </w:t>
            </w:r>
            <w:proofErr w:type="gramStart"/>
            <w:r w:rsidRPr="00542BFD">
              <w:rPr>
                <w:rFonts w:asciiTheme="minorHAnsi" w:hAnsiTheme="minorHAnsi" w:cstheme="minorHAnsi"/>
                <w:color w:val="2C363A"/>
                <w:sz w:val="16"/>
                <w:szCs w:val="16"/>
                <w:shd w:val="clear" w:color="auto" w:fill="D9E2F3" w:themeFill="accent1" w:themeFillTint="33"/>
              </w:rPr>
              <w:t>Islam</w:t>
            </w:r>
            <w:proofErr w:type="gramEnd"/>
            <w:r w:rsidRPr="00542BFD">
              <w:rPr>
                <w:rFonts w:asciiTheme="minorHAnsi" w:hAnsiTheme="minorHAnsi" w:cstheme="minorHAnsi"/>
                <w:color w:val="2C363A"/>
                <w:sz w:val="16"/>
                <w:szCs w:val="16"/>
                <w:shd w:val="clear" w:color="auto" w:fill="D9E2F3" w:themeFill="accent1" w:themeFillTint="33"/>
              </w:rPr>
              <w:t>.</w:t>
            </w:r>
          </w:p>
          <w:p w14:paraId="586784AB" w14:textId="1BEBC4A3" w:rsidR="00D5722F" w:rsidRPr="00F07B61" w:rsidRDefault="00D5722F" w:rsidP="00670BAF">
            <w:pPr>
              <w:rPr>
                <w:rFonts w:asciiTheme="minorHAnsi" w:hAnsiTheme="minorHAnsi" w:cstheme="minorHAnsi"/>
                <w:sz w:val="16"/>
                <w:szCs w:val="16"/>
              </w:rPr>
            </w:pPr>
          </w:p>
        </w:tc>
        <w:tc>
          <w:tcPr>
            <w:tcW w:w="1518" w:type="dxa"/>
            <w:shd w:val="clear" w:color="auto" w:fill="D9E2F3" w:themeFill="accent1" w:themeFillTint="33"/>
          </w:tcPr>
          <w:p w14:paraId="16597070" w14:textId="1F4D3FD9" w:rsidR="00D5722F" w:rsidRPr="00F07B61" w:rsidRDefault="00D5722F" w:rsidP="00670BAF">
            <w:pPr>
              <w:rPr>
                <w:rFonts w:asciiTheme="minorHAnsi" w:hAnsiTheme="minorHAnsi" w:cstheme="minorHAnsi"/>
                <w:sz w:val="16"/>
                <w:szCs w:val="16"/>
              </w:rPr>
            </w:pPr>
            <w:r w:rsidRPr="00542BFD">
              <w:rPr>
                <w:rFonts w:asciiTheme="minorHAnsi" w:hAnsiTheme="minorHAnsi" w:cstheme="minorHAnsi"/>
                <w:sz w:val="16"/>
                <w:szCs w:val="16"/>
                <w:shd w:val="clear" w:color="auto" w:fill="D9E2F3" w:themeFill="accent1" w:themeFillTint="33"/>
              </w:rPr>
              <w:t>Marcial Rodríguez Buján</w:t>
            </w:r>
          </w:p>
        </w:tc>
        <w:tc>
          <w:tcPr>
            <w:tcW w:w="1876" w:type="dxa"/>
            <w:shd w:val="clear" w:color="auto" w:fill="D9E2F3" w:themeFill="accent1" w:themeFillTint="33"/>
          </w:tcPr>
          <w:p w14:paraId="003B23C7" w14:textId="4D69D296" w:rsidR="00D5722F" w:rsidRPr="00F07B61" w:rsidRDefault="00D5722F" w:rsidP="00670BAF">
            <w:pPr>
              <w:rPr>
                <w:rFonts w:asciiTheme="minorHAnsi" w:hAnsiTheme="minorHAnsi" w:cstheme="minorHAnsi"/>
                <w:sz w:val="16"/>
                <w:szCs w:val="16"/>
              </w:rPr>
            </w:pPr>
            <w:r w:rsidRPr="00542BFD">
              <w:rPr>
                <w:rFonts w:asciiTheme="minorHAnsi" w:hAnsiTheme="minorHAnsi" w:cstheme="minorHAnsi"/>
                <w:sz w:val="16"/>
                <w:szCs w:val="16"/>
                <w:shd w:val="clear" w:color="auto" w:fill="D9E2F3" w:themeFill="accent1" w:themeFillTint="33"/>
              </w:rPr>
              <w:t>Psicología experimental</w:t>
            </w:r>
          </w:p>
        </w:tc>
        <w:tc>
          <w:tcPr>
            <w:tcW w:w="3502" w:type="dxa"/>
            <w:shd w:val="clear" w:color="auto" w:fill="D9E2F3" w:themeFill="accent1" w:themeFillTint="33"/>
          </w:tcPr>
          <w:p w14:paraId="4B9DF384" w14:textId="77777777"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La presencia de inmigrantes musulmanes resulta incómoda y amenazante para muchos occidentales. Por esta razón, desde comienzos del siglo XX, se financian un gran número de investigaciones destinadas a conocer cómo convivieron durante 900 años aquí, en España, las culturas cristiana e islámica. Lo ocurrido en la península ibérica (más Ceuta) durante la Edad Media es un episodio único en Occidente que dejó su impronta artística al comienzo de la Edad Moderna en obras arquitectónicas y literarias que son referentes de la cultura española (</w:t>
            </w:r>
            <w:proofErr w:type="spellStart"/>
            <w:r w:rsidRPr="00542BFD">
              <w:rPr>
                <w:rFonts w:asciiTheme="minorHAnsi" w:hAnsiTheme="minorHAnsi" w:cstheme="minorHAnsi"/>
                <w:color w:val="2C363A"/>
                <w:sz w:val="16"/>
                <w:szCs w:val="16"/>
                <w:shd w:val="clear" w:color="auto" w:fill="D9E2F3" w:themeFill="accent1" w:themeFillTint="33"/>
              </w:rPr>
              <w:t>e.g</w:t>
            </w:r>
            <w:proofErr w:type="spellEnd"/>
            <w:r w:rsidRPr="00542BFD">
              <w:rPr>
                <w:rFonts w:asciiTheme="minorHAnsi" w:hAnsiTheme="minorHAnsi" w:cstheme="minorHAnsi"/>
                <w:color w:val="2C363A"/>
                <w:sz w:val="16"/>
                <w:szCs w:val="16"/>
                <w:shd w:val="clear" w:color="auto" w:fill="D9E2F3" w:themeFill="accent1" w:themeFillTint="33"/>
              </w:rPr>
              <w:t>. el arte mudéjar, El libro del buen amor, La Celestina o El Quijote). Tradicionalmente la forma en la que occidente se ha acercado al islam bascula entre la admiración y el miedo, y existen también dos versiones de esa extraordinaria relación entre cristianos y musulmanes que se dio durante el medievo en España: la de la convivencia idílica y la de un constante belicismo, las cuales han sido usadas para mantener o reducir la distancia entre ambas culturas. Seamos o no conscientes de estas versiones, sus ecos resuenan en nosotros y determinan la forma en la que nos acercamos al “otro”, en este caso al musulmán. Se trata por tanto de explorar esa relación, y también la forma en la que ha sido tratada por la historiografía, para intentar despejar prejuicios y acercar posiciones.</w:t>
            </w:r>
          </w:p>
          <w:p w14:paraId="3A6CE819" w14:textId="6FC09EEE" w:rsidR="00D5722F" w:rsidRPr="00F07B61" w:rsidRDefault="00D5722F" w:rsidP="00670BAF">
            <w:pPr>
              <w:rPr>
                <w:rFonts w:asciiTheme="minorHAnsi" w:hAnsiTheme="minorHAnsi" w:cstheme="minorHAnsi"/>
                <w:sz w:val="16"/>
                <w:szCs w:val="16"/>
              </w:rPr>
            </w:pPr>
          </w:p>
        </w:tc>
      </w:tr>
      <w:tr w:rsidR="00D5722F" w14:paraId="67DA5EDE" w14:textId="77777777" w:rsidTr="00306971">
        <w:trPr>
          <w:jc w:val="center"/>
        </w:trPr>
        <w:tc>
          <w:tcPr>
            <w:tcW w:w="562" w:type="dxa"/>
            <w:tcBorders>
              <w:bottom w:val="single" w:sz="4" w:space="0" w:color="auto"/>
            </w:tcBorders>
            <w:shd w:val="clear" w:color="auto" w:fill="D9E2F3" w:themeFill="accent1" w:themeFillTint="33"/>
          </w:tcPr>
          <w:p w14:paraId="4574D0B3" w14:textId="1719FCA0" w:rsidR="00D5722F" w:rsidRDefault="00D5722F" w:rsidP="00670BAF">
            <w:r>
              <w:rPr>
                <w:shd w:val="clear" w:color="auto" w:fill="D9E2F3" w:themeFill="accent1" w:themeFillTint="33"/>
              </w:rPr>
              <w:t>23</w:t>
            </w:r>
          </w:p>
        </w:tc>
        <w:tc>
          <w:tcPr>
            <w:tcW w:w="1655" w:type="dxa"/>
            <w:tcBorders>
              <w:bottom w:val="single" w:sz="4" w:space="0" w:color="auto"/>
            </w:tcBorders>
            <w:shd w:val="clear" w:color="auto" w:fill="D9E2F3" w:themeFill="accent1" w:themeFillTint="33"/>
          </w:tcPr>
          <w:p w14:paraId="52C2DE2E" w14:textId="5AFD53D3" w:rsidR="00D5722F" w:rsidRPr="00F07B61" w:rsidRDefault="00D5722F" w:rsidP="00670BAF">
            <w:pPr>
              <w:rPr>
                <w:rFonts w:asciiTheme="minorHAnsi" w:hAnsiTheme="minorHAnsi" w:cstheme="minorHAnsi"/>
                <w:color w:val="2C363A"/>
                <w:sz w:val="16"/>
                <w:szCs w:val="16"/>
                <w:shd w:val="clear" w:color="auto" w:fill="FFFFFF"/>
              </w:rPr>
            </w:pPr>
            <w:r w:rsidRPr="00542BFD">
              <w:rPr>
                <w:rFonts w:asciiTheme="minorHAnsi" w:eastAsia="Calibri" w:hAnsiTheme="minorHAnsi" w:cstheme="minorHAnsi"/>
                <w:sz w:val="16"/>
                <w:szCs w:val="16"/>
                <w:shd w:val="clear" w:color="auto" w:fill="D9E2F3" w:themeFill="accent1" w:themeFillTint="33"/>
                <w:lang w:val="es-ES_tradnl"/>
              </w:rPr>
              <w:t>Publicidad y desarrollo infantil y juvenil.</w:t>
            </w:r>
          </w:p>
        </w:tc>
        <w:tc>
          <w:tcPr>
            <w:tcW w:w="1518" w:type="dxa"/>
            <w:tcBorders>
              <w:bottom w:val="single" w:sz="4" w:space="0" w:color="auto"/>
            </w:tcBorders>
            <w:shd w:val="clear" w:color="auto" w:fill="D9E2F3" w:themeFill="accent1" w:themeFillTint="33"/>
          </w:tcPr>
          <w:p w14:paraId="18D279AF" w14:textId="7A583E84" w:rsidR="00D5722F" w:rsidRPr="00F07B61" w:rsidRDefault="00D5722F" w:rsidP="00670BAF">
            <w:pPr>
              <w:rPr>
                <w:rFonts w:asciiTheme="minorHAnsi" w:hAnsiTheme="minorHAnsi" w:cstheme="minorHAnsi"/>
                <w:sz w:val="16"/>
                <w:szCs w:val="16"/>
              </w:rPr>
            </w:pPr>
            <w:r w:rsidRPr="00542BFD">
              <w:rPr>
                <w:rFonts w:asciiTheme="minorHAnsi" w:hAnsiTheme="minorHAnsi" w:cstheme="minorHAnsi"/>
                <w:sz w:val="16"/>
                <w:szCs w:val="16"/>
                <w:shd w:val="clear" w:color="auto" w:fill="D9E2F3" w:themeFill="accent1" w:themeFillTint="33"/>
                <w:lang w:val="es-ES_tradnl"/>
              </w:rPr>
              <w:t>Santiago Real Martínez</w:t>
            </w:r>
          </w:p>
        </w:tc>
        <w:tc>
          <w:tcPr>
            <w:tcW w:w="1876" w:type="dxa"/>
            <w:tcBorders>
              <w:bottom w:val="single" w:sz="4" w:space="0" w:color="auto"/>
            </w:tcBorders>
            <w:shd w:val="clear" w:color="auto" w:fill="D9E2F3" w:themeFill="accent1" w:themeFillTint="33"/>
          </w:tcPr>
          <w:p w14:paraId="5D92E26C" w14:textId="4B63BEB9" w:rsidR="00D5722F" w:rsidRPr="00F07B61" w:rsidRDefault="00D5722F" w:rsidP="00670BAF">
            <w:pPr>
              <w:rPr>
                <w:rFonts w:asciiTheme="minorHAnsi" w:hAnsiTheme="minorHAnsi" w:cstheme="minorHAnsi"/>
                <w:sz w:val="16"/>
                <w:szCs w:val="16"/>
              </w:rPr>
            </w:pPr>
            <w:r w:rsidRPr="00542BFD">
              <w:rPr>
                <w:rFonts w:asciiTheme="minorHAnsi" w:hAnsiTheme="minorHAnsi" w:cstheme="minorHAnsi"/>
                <w:sz w:val="16"/>
                <w:szCs w:val="16"/>
                <w:shd w:val="clear" w:color="auto" w:fill="D9E2F3" w:themeFill="accent1" w:themeFillTint="33"/>
              </w:rPr>
              <w:t>Psicología experimental</w:t>
            </w:r>
          </w:p>
        </w:tc>
        <w:tc>
          <w:tcPr>
            <w:tcW w:w="3502" w:type="dxa"/>
            <w:tcBorders>
              <w:bottom w:val="single" w:sz="4" w:space="0" w:color="auto"/>
            </w:tcBorders>
            <w:shd w:val="clear" w:color="auto" w:fill="D9E2F3" w:themeFill="accent1" w:themeFillTint="33"/>
          </w:tcPr>
          <w:p w14:paraId="4F1EB389" w14:textId="4C989992" w:rsidR="00D5722F" w:rsidRPr="00F07B61" w:rsidRDefault="00D5722F" w:rsidP="00670BAF">
            <w:pPr>
              <w:rPr>
                <w:rFonts w:asciiTheme="minorHAnsi" w:hAnsiTheme="minorHAnsi" w:cstheme="minorHAnsi"/>
                <w:color w:val="2C363A"/>
                <w:sz w:val="16"/>
                <w:szCs w:val="16"/>
                <w:shd w:val="clear" w:color="auto" w:fill="FFFFFF"/>
              </w:rPr>
            </w:pPr>
            <w:r w:rsidRPr="00542BFD">
              <w:rPr>
                <w:rFonts w:asciiTheme="minorHAnsi" w:eastAsia="Calibri" w:hAnsiTheme="minorHAnsi" w:cstheme="minorHAnsi"/>
                <w:sz w:val="16"/>
                <w:szCs w:val="16"/>
                <w:shd w:val="clear" w:color="auto" w:fill="D9E2F3" w:themeFill="accent1" w:themeFillTint="33"/>
                <w:lang w:val="es-ES_tradnl"/>
              </w:rPr>
              <w:t>Análisis de la relación entre la publicidad y el desarrollo de la personalidad y valores entre los menores</w:t>
            </w:r>
          </w:p>
        </w:tc>
      </w:tr>
      <w:tr w:rsidR="00D5722F" w14:paraId="750B7F7C" w14:textId="77777777" w:rsidTr="00306971">
        <w:trPr>
          <w:jc w:val="center"/>
        </w:trPr>
        <w:tc>
          <w:tcPr>
            <w:tcW w:w="562" w:type="dxa"/>
            <w:tcBorders>
              <w:bottom w:val="single" w:sz="4" w:space="0" w:color="auto"/>
            </w:tcBorders>
            <w:shd w:val="clear" w:color="auto" w:fill="FFE599" w:themeFill="accent4" w:themeFillTint="66"/>
          </w:tcPr>
          <w:p w14:paraId="51F0E852" w14:textId="12837889" w:rsidR="00D5722F" w:rsidRDefault="00D5722F" w:rsidP="00670BAF">
            <w:r>
              <w:rPr>
                <w:shd w:val="clear" w:color="auto" w:fill="FFE599" w:themeFill="accent4" w:themeFillTint="66"/>
              </w:rPr>
              <w:lastRenderedPageBreak/>
              <w:t>25</w:t>
            </w:r>
          </w:p>
        </w:tc>
        <w:tc>
          <w:tcPr>
            <w:tcW w:w="1655" w:type="dxa"/>
            <w:tcBorders>
              <w:bottom w:val="single" w:sz="4" w:space="0" w:color="auto"/>
            </w:tcBorders>
            <w:shd w:val="clear" w:color="auto" w:fill="FFE599" w:themeFill="accent4" w:themeFillTint="66"/>
          </w:tcPr>
          <w:p w14:paraId="0462F915" w14:textId="77777777" w:rsidR="00D5722F" w:rsidRPr="00542BFD" w:rsidRDefault="00D5722F" w:rsidP="00542BFD">
            <w:pPr>
              <w:pStyle w:val="NormalWeb"/>
              <w:shd w:val="clear" w:color="auto" w:fill="FFE599" w:themeFill="accent4" w:themeFillTint="66"/>
              <w:spacing w:before="0" w:beforeAutospacing="0"/>
              <w:rPr>
                <w:rFonts w:asciiTheme="minorHAnsi" w:hAnsiTheme="minorHAnsi" w:cstheme="minorHAnsi"/>
                <w:color w:val="2C363A"/>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Diseño del perfil básico del inmigrante europeo y nacional. Propuesta de necesidades.</w:t>
            </w:r>
          </w:p>
          <w:p w14:paraId="63FA4975" w14:textId="77777777" w:rsidR="00D5722F" w:rsidRPr="00542BFD" w:rsidRDefault="00D5722F" w:rsidP="00542BFD">
            <w:pPr>
              <w:shd w:val="clear" w:color="auto" w:fill="FFE599" w:themeFill="accent4" w:themeFillTint="66"/>
              <w:rPr>
                <w:rFonts w:asciiTheme="minorHAnsi" w:hAnsiTheme="minorHAnsi" w:cstheme="minorHAnsi"/>
                <w:sz w:val="16"/>
                <w:szCs w:val="16"/>
                <w:shd w:val="clear" w:color="auto" w:fill="FFE599" w:themeFill="accent4" w:themeFillTint="66"/>
              </w:rPr>
            </w:pPr>
          </w:p>
          <w:p w14:paraId="799EA8D6" w14:textId="58B3CA41" w:rsidR="00D5722F" w:rsidRPr="00F07B61" w:rsidRDefault="00D5722F" w:rsidP="00670BAF">
            <w:pPr>
              <w:rPr>
                <w:rFonts w:asciiTheme="minorHAnsi" w:hAnsiTheme="minorHAnsi" w:cstheme="minorHAnsi"/>
                <w:sz w:val="16"/>
                <w:szCs w:val="16"/>
              </w:rPr>
            </w:pPr>
          </w:p>
        </w:tc>
        <w:tc>
          <w:tcPr>
            <w:tcW w:w="1518" w:type="dxa"/>
            <w:tcBorders>
              <w:bottom w:val="single" w:sz="4" w:space="0" w:color="auto"/>
            </w:tcBorders>
            <w:shd w:val="clear" w:color="auto" w:fill="FFE599" w:themeFill="accent4" w:themeFillTint="66"/>
          </w:tcPr>
          <w:p w14:paraId="391D29DA" w14:textId="77777777" w:rsidR="00D5722F" w:rsidRPr="00542BFD" w:rsidRDefault="00D5722F" w:rsidP="000B2171">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Profesor por contratar</w:t>
            </w:r>
          </w:p>
          <w:p w14:paraId="56C000C4" w14:textId="13E0FB80" w:rsidR="00D5722F" w:rsidRPr="00F07B61" w:rsidRDefault="00D5722F" w:rsidP="00670BAF">
            <w:pPr>
              <w:rPr>
                <w:rFonts w:asciiTheme="minorHAnsi" w:hAnsiTheme="minorHAnsi" w:cstheme="minorHAnsi"/>
                <w:sz w:val="16"/>
                <w:szCs w:val="16"/>
              </w:rPr>
            </w:pPr>
          </w:p>
        </w:tc>
        <w:tc>
          <w:tcPr>
            <w:tcW w:w="1876" w:type="dxa"/>
            <w:tcBorders>
              <w:bottom w:val="single" w:sz="4" w:space="0" w:color="auto"/>
            </w:tcBorders>
            <w:shd w:val="clear" w:color="auto" w:fill="FFE599" w:themeFill="accent4" w:themeFillTint="66"/>
          </w:tcPr>
          <w:p w14:paraId="1EEA561E" w14:textId="3306C6DD" w:rsidR="00D5722F" w:rsidRPr="00F07B61" w:rsidRDefault="00D5722F" w:rsidP="00670BAF">
            <w:pPr>
              <w:rPr>
                <w:rFonts w:asciiTheme="minorHAnsi" w:hAnsiTheme="minorHAnsi" w:cstheme="minorHAnsi"/>
                <w:sz w:val="16"/>
                <w:szCs w:val="16"/>
              </w:rPr>
            </w:pPr>
            <w:r w:rsidRPr="00542BFD">
              <w:rPr>
                <w:rFonts w:asciiTheme="minorHAnsi" w:eastAsia="Calibri" w:hAnsiTheme="minorHAnsi" w:cstheme="minorHAnsi"/>
                <w:sz w:val="16"/>
                <w:szCs w:val="16"/>
                <w:shd w:val="clear" w:color="auto" w:fill="FFE599" w:themeFill="accent4" w:themeFillTint="66"/>
              </w:rPr>
              <w:t>Personalidad, Evaluación y Tratamiento Psicológico</w:t>
            </w:r>
          </w:p>
        </w:tc>
        <w:tc>
          <w:tcPr>
            <w:tcW w:w="3502" w:type="dxa"/>
            <w:tcBorders>
              <w:bottom w:val="single" w:sz="4" w:space="0" w:color="auto"/>
            </w:tcBorders>
            <w:shd w:val="clear" w:color="auto" w:fill="FFE599" w:themeFill="accent4" w:themeFillTint="66"/>
          </w:tcPr>
          <w:p w14:paraId="17BB0F4F" w14:textId="77777777" w:rsidR="00D5722F" w:rsidRPr="00542BFD" w:rsidRDefault="00D5722F" w:rsidP="000B2171">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Análisis en profundidad de las características de los inmigrantes que llegan tanto a suelo europeo como español y comparación de los perfiles y necesidades básicas según el país de procedencia y de destino. </w:t>
            </w:r>
          </w:p>
          <w:p w14:paraId="70C5F316" w14:textId="2607E3CE" w:rsidR="00D5722F" w:rsidRPr="00F07B61" w:rsidRDefault="00D5722F" w:rsidP="00670BAF">
            <w:pPr>
              <w:rPr>
                <w:rFonts w:asciiTheme="minorHAnsi" w:hAnsiTheme="minorHAnsi" w:cstheme="minorHAnsi"/>
                <w:sz w:val="16"/>
                <w:szCs w:val="16"/>
              </w:rPr>
            </w:pPr>
          </w:p>
        </w:tc>
      </w:tr>
      <w:tr w:rsidR="00D5722F" w14:paraId="64DD3C5A" w14:textId="77777777" w:rsidTr="00306971">
        <w:trPr>
          <w:jc w:val="center"/>
        </w:trPr>
        <w:tc>
          <w:tcPr>
            <w:tcW w:w="562" w:type="dxa"/>
            <w:shd w:val="clear" w:color="auto" w:fill="C5E0B3" w:themeFill="accent6" w:themeFillTint="66"/>
          </w:tcPr>
          <w:p w14:paraId="4B8A0DA9" w14:textId="064003F1" w:rsidR="00D5722F" w:rsidRDefault="00D5722F" w:rsidP="00670BAF">
            <w:r>
              <w:t>26</w:t>
            </w:r>
          </w:p>
        </w:tc>
        <w:tc>
          <w:tcPr>
            <w:tcW w:w="1655" w:type="dxa"/>
            <w:shd w:val="clear" w:color="auto" w:fill="C5E0B3" w:themeFill="accent6" w:themeFillTint="66"/>
          </w:tcPr>
          <w:p w14:paraId="101283CF" w14:textId="60E3FA75" w:rsidR="00D5722F" w:rsidRPr="00F07B61" w:rsidRDefault="00D5722F" w:rsidP="00670BAF">
            <w:pPr>
              <w:rPr>
                <w:rFonts w:asciiTheme="minorHAnsi" w:hAnsiTheme="minorHAnsi" w:cstheme="minorHAnsi"/>
                <w:bCs/>
                <w:sz w:val="16"/>
                <w:szCs w:val="16"/>
              </w:rPr>
            </w:pPr>
            <w:r w:rsidRPr="00F07B61">
              <w:rPr>
                <w:rFonts w:asciiTheme="minorHAnsi" w:hAnsiTheme="minorHAnsi" w:cstheme="minorHAnsi"/>
                <w:color w:val="000000"/>
                <w:sz w:val="16"/>
                <w:szCs w:val="16"/>
                <w:lang w:eastAsia="es-ES"/>
              </w:rPr>
              <w:t>La educación musical como medio y recurso para una educación social crítica.</w:t>
            </w:r>
          </w:p>
        </w:tc>
        <w:tc>
          <w:tcPr>
            <w:tcW w:w="1518" w:type="dxa"/>
            <w:shd w:val="clear" w:color="auto" w:fill="C5E0B3" w:themeFill="accent6" w:themeFillTint="66"/>
          </w:tcPr>
          <w:p w14:paraId="31575958" w14:textId="250C4667"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sz w:val="16"/>
                <w:szCs w:val="16"/>
              </w:rPr>
              <w:t>Antonio Fernández Jiménez</w:t>
            </w:r>
          </w:p>
        </w:tc>
        <w:tc>
          <w:tcPr>
            <w:tcW w:w="1876" w:type="dxa"/>
            <w:shd w:val="clear" w:color="auto" w:fill="C5E0B3" w:themeFill="accent6" w:themeFillTint="66"/>
          </w:tcPr>
          <w:p w14:paraId="7F0B40D5" w14:textId="05004D9F"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bCs/>
                <w:sz w:val="16"/>
                <w:szCs w:val="16"/>
              </w:rPr>
              <w:t>Didáctica de la Expresión Musical, Plástica y Corporal</w:t>
            </w:r>
          </w:p>
        </w:tc>
        <w:tc>
          <w:tcPr>
            <w:tcW w:w="3502" w:type="dxa"/>
            <w:shd w:val="clear" w:color="auto" w:fill="C5E0B3" w:themeFill="accent6" w:themeFillTint="66"/>
          </w:tcPr>
          <w:p w14:paraId="742C5C48" w14:textId="77AE822F" w:rsidR="00D5722F" w:rsidRPr="00F07B61" w:rsidRDefault="00D5722F" w:rsidP="00670BAF">
            <w:pPr>
              <w:rPr>
                <w:rFonts w:asciiTheme="minorHAnsi" w:hAnsiTheme="minorHAnsi" w:cstheme="minorHAnsi"/>
                <w:sz w:val="16"/>
                <w:szCs w:val="16"/>
              </w:rPr>
            </w:pPr>
            <w:r w:rsidRPr="00F07B61">
              <w:rPr>
                <w:rFonts w:asciiTheme="minorHAnsi" w:hAnsiTheme="minorHAnsi" w:cstheme="minorHAnsi"/>
                <w:iCs/>
                <w:color w:val="000000"/>
                <w:sz w:val="16"/>
                <w:szCs w:val="16"/>
                <w:lang w:eastAsia="es-ES"/>
              </w:rPr>
              <w:t xml:space="preserve">Investigación sobre Educación Musical en escenarios no formales e informales y su impacto en la sociedad. TIC e innovación para el cambio educativo. Educación crítica. Estudios de caso, investigación cualitativa y </w:t>
            </w:r>
            <w:proofErr w:type="spellStart"/>
            <w:r w:rsidRPr="00F07B61">
              <w:rPr>
                <w:rFonts w:asciiTheme="minorHAnsi" w:hAnsiTheme="minorHAnsi" w:cstheme="minorHAnsi"/>
                <w:iCs/>
                <w:color w:val="000000"/>
                <w:sz w:val="16"/>
                <w:szCs w:val="16"/>
                <w:lang w:eastAsia="es-ES"/>
              </w:rPr>
              <w:t>poscualitativa</w:t>
            </w:r>
            <w:proofErr w:type="spellEnd"/>
            <w:r w:rsidRPr="00F07B61">
              <w:rPr>
                <w:rFonts w:asciiTheme="minorHAnsi" w:hAnsiTheme="minorHAnsi" w:cstheme="minorHAnsi"/>
                <w:iCs/>
                <w:color w:val="000000"/>
                <w:sz w:val="16"/>
                <w:szCs w:val="16"/>
                <w:lang w:eastAsia="es-ES"/>
              </w:rPr>
              <w:t>. Diseño de proyectos de intervención que hagan uso de medios y recursos musicales</w:t>
            </w:r>
          </w:p>
        </w:tc>
      </w:tr>
      <w:tr w:rsidR="00D5722F" w:rsidRPr="00542BFD" w14:paraId="751B1108" w14:textId="77777777" w:rsidTr="00306971">
        <w:trPr>
          <w:jc w:val="center"/>
        </w:trPr>
        <w:tc>
          <w:tcPr>
            <w:tcW w:w="562" w:type="dxa"/>
            <w:tcBorders>
              <w:bottom w:val="single" w:sz="4" w:space="0" w:color="auto"/>
            </w:tcBorders>
            <w:shd w:val="clear" w:color="auto" w:fill="C5E0B3" w:themeFill="accent6" w:themeFillTint="66"/>
          </w:tcPr>
          <w:p w14:paraId="16612ED3" w14:textId="342E06ED" w:rsidR="00D5722F" w:rsidRPr="00542BFD" w:rsidRDefault="00D5722F" w:rsidP="00542BFD">
            <w:pPr>
              <w:shd w:val="clear" w:color="auto" w:fill="D9E2F3" w:themeFill="accent1" w:themeFillTint="33"/>
              <w:rPr>
                <w:shd w:val="clear" w:color="auto" w:fill="D9E2F3" w:themeFill="accent1" w:themeFillTint="33"/>
              </w:rPr>
            </w:pPr>
            <w:r>
              <w:t>27</w:t>
            </w:r>
          </w:p>
        </w:tc>
        <w:tc>
          <w:tcPr>
            <w:tcW w:w="1655" w:type="dxa"/>
            <w:tcBorders>
              <w:bottom w:val="single" w:sz="4" w:space="0" w:color="auto"/>
            </w:tcBorders>
            <w:shd w:val="clear" w:color="auto" w:fill="C5E0B3" w:themeFill="accent6" w:themeFillTint="66"/>
          </w:tcPr>
          <w:p w14:paraId="34EAA583" w14:textId="15DC4AF7"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F07B61">
              <w:rPr>
                <w:rFonts w:asciiTheme="minorHAnsi" w:hAnsiTheme="minorHAnsi" w:cstheme="minorHAnsi"/>
                <w:sz w:val="16"/>
                <w:szCs w:val="16"/>
              </w:rPr>
              <w:t>La animación sociocultural en el marco profesional del educador social</w:t>
            </w:r>
          </w:p>
        </w:tc>
        <w:tc>
          <w:tcPr>
            <w:tcW w:w="1518" w:type="dxa"/>
            <w:tcBorders>
              <w:bottom w:val="single" w:sz="4" w:space="0" w:color="auto"/>
            </w:tcBorders>
            <w:shd w:val="clear" w:color="auto" w:fill="C5E0B3" w:themeFill="accent6" w:themeFillTint="66"/>
          </w:tcPr>
          <w:p w14:paraId="28DC5188" w14:textId="6327F26B"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F07B61">
              <w:rPr>
                <w:rFonts w:asciiTheme="minorHAnsi" w:hAnsiTheme="minorHAnsi" w:cstheme="minorHAnsi"/>
                <w:sz w:val="16"/>
                <w:szCs w:val="16"/>
              </w:rPr>
              <w:t>Julio García Ruda</w:t>
            </w:r>
          </w:p>
        </w:tc>
        <w:tc>
          <w:tcPr>
            <w:tcW w:w="1876" w:type="dxa"/>
            <w:tcBorders>
              <w:bottom w:val="single" w:sz="4" w:space="0" w:color="auto"/>
            </w:tcBorders>
            <w:shd w:val="clear" w:color="auto" w:fill="C5E0B3" w:themeFill="accent6" w:themeFillTint="66"/>
          </w:tcPr>
          <w:p w14:paraId="27309810" w14:textId="29077C70"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F07B61">
              <w:rPr>
                <w:rFonts w:asciiTheme="minorHAnsi" w:hAnsiTheme="minorHAnsi" w:cstheme="minorHAnsi"/>
                <w:bCs/>
                <w:sz w:val="16"/>
                <w:szCs w:val="16"/>
              </w:rPr>
              <w:t>Didáctica de la Expresión Musical, Plástica y Corporal</w:t>
            </w:r>
          </w:p>
        </w:tc>
        <w:tc>
          <w:tcPr>
            <w:tcW w:w="3502" w:type="dxa"/>
            <w:tcBorders>
              <w:bottom w:val="single" w:sz="4" w:space="0" w:color="auto"/>
            </w:tcBorders>
            <w:shd w:val="clear" w:color="auto" w:fill="C5E0B3" w:themeFill="accent6" w:themeFillTint="66"/>
          </w:tcPr>
          <w:p w14:paraId="3DD6D0F5" w14:textId="1C6E81F1"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iCs/>
                <w:sz w:val="16"/>
                <w:szCs w:val="16"/>
              </w:rPr>
              <w:t xml:space="preserve">Estudio de las diferentes aplicaciones de la animación sociocultural en el mundo profesional del educador social. Se aborda a través de métodos cualitativos de </w:t>
            </w:r>
            <w:proofErr w:type="gramStart"/>
            <w:r w:rsidRPr="00542BFD">
              <w:rPr>
                <w:rFonts w:asciiTheme="minorHAnsi" w:hAnsiTheme="minorHAnsi" w:cstheme="minorHAnsi"/>
                <w:iCs/>
                <w:sz w:val="16"/>
                <w:szCs w:val="16"/>
              </w:rPr>
              <w:t>investigación,  un</w:t>
            </w:r>
            <w:proofErr w:type="gramEnd"/>
            <w:r w:rsidRPr="00542BFD">
              <w:rPr>
                <w:rFonts w:asciiTheme="minorHAnsi" w:hAnsiTheme="minorHAnsi" w:cstheme="minorHAnsi"/>
                <w:iCs/>
                <w:sz w:val="16"/>
                <w:szCs w:val="16"/>
              </w:rPr>
              <w:t xml:space="preserve"> estudio analítico de las prácticas profesionales en las que interviene la animación sociocultural: Centros penitenciarios, atención a menores, tercera edad,  entre otros. Trabajos de estudios bibliográficos sobre la animación sociocultural en las instituciones públicas y organizaciones no gubernamentales. Creación de Proyectos de animación sociocultural</w:t>
            </w:r>
            <w:r w:rsidRPr="00F07B61">
              <w:rPr>
                <w:rFonts w:asciiTheme="minorHAnsi" w:hAnsiTheme="minorHAnsi" w:cstheme="minorHAnsi"/>
                <w:i/>
                <w:sz w:val="16"/>
                <w:szCs w:val="16"/>
              </w:rPr>
              <w:t>.</w:t>
            </w:r>
          </w:p>
        </w:tc>
      </w:tr>
      <w:tr w:rsidR="00D5722F" w:rsidRPr="00542BFD" w14:paraId="716C053A" w14:textId="77777777" w:rsidTr="00306971">
        <w:trPr>
          <w:jc w:val="center"/>
        </w:trPr>
        <w:tc>
          <w:tcPr>
            <w:tcW w:w="562" w:type="dxa"/>
            <w:tcBorders>
              <w:bottom w:val="single" w:sz="4" w:space="0" w:color="auto"/>
            </w:tcBorders>
            <w:shd w:val="clear" w:color="auto" w:fill="D9E2F3" w:themeFill="accent1" w:themeFillTint="33"/>
          </w:tcPr>
          <w:p w14:paraId="2A694B6E" w14:textId="63C9FD74" w:rsidR="00D5722F" w:rsidRPr="00542BFD" w:rsidRDefault="00D5722F" w:rsidP="00542BFD">
            <w:pPr>
              <w:shd w:val="clear" w:color="auto" w:fill="D9E2F3" w:themeFill="accent1" w:themeFillTint="33"/>
              <w:rPr>
                <w:shd w:val="clear" w:color="auto" w:fill="D9E2F3" w:themeFill="accent1" w:themeFillTint="33"/>
              </w:rPr>
            </w:pPr>
            <w:r>
              <w:t>28</w:t>
            </w:r>
          </w:p>
        </w:tc>
        <w:tc>
          <w:tcPr>
            <w:tcW w:w="1655" w:type="dxa"/>
            <w:tcBorders>
              <w:bottom w:val="single" w:sz="4" w:space="0" w:color="auto"/>
            </w:tcBorders>
            <w:shd w:val="clear" w:color="auto" w:fill="D9E2F3" w:themeFill="accent1" w:themeFillTint="33"/>
          </w:tcPr>
          <w:p w14:paraId="2EC93D6D" w14:textId="77777777" w:rsidR="00D5722F" w:rsidRPr="00360F16" w:rsidRDefault="00D5722F" w:rsidP="00360F16">
            <w:pPr>
              <w:pStyle w:val="NormalWeb"/>
              <w:spacing w:before="0" w:beforeAutospacing="0"/>
              <w:rPr>
                <w:rFonts w:asciiTheme="minorHAnsi" w:hAnsiTheme="minorHAnsi" w:cstheme="minorHAnsi"/>
                <w:sz w:val="16"/>
                <w:szCs w:val="16"/>
              </w:rPr>
            </w:pPr>
            <w:r w:rsidRPr="00360F16">
              <w:rPr>
                <w:rFonts w:asciiTheme="minorHAnsi" w:hAnsiTheme="minorHAnsi" w:cstheme="minorHAnsi"/>
                <w:sz w:val="16"/>
                <w:szCs w:val="16"/>
              </w:rPr>
              <w:t>Proyecto educativo para trabajar retos de la sociedad actual con colectivos en riesgo de exclusión social</w:t>
            </w:r>
          </w:p>
          <w:p w14:paraId="4B8264E8" w14:textId="570D2820"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p>
        </w:tc>
        <w:tc>
          <w:tcPr>
            <w:tcW w:w="1518" w:type="dxa"/>
            <w:tcBorders>
              <w:bottom w:val="single" w:sz="4" w:space="0" w:color="auto"/>
            </w:tcBorders>
            <w:shd w:val="clear" w:color="auto" w:fill="D9E2F3" w:themeFill="accent1" w:themeFillTint="33"/>
          </w:tcPr>
          <w:p w14:paraId="6465EE12" w14:textId="17B93505"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Pr>
                <w:rFonts w:asciiTheme="minorHAnsi" w:hAnsiTheme="minorHAnsi" w:cstheme="minorHAnsi"/>
                <w:sz w:val="16"/>
                <w:szCs w:val="16"/>
              </w:rPr>
              <w:t>Silvia Cazalla</w:t>
            </w:r>
          </w:p>
        </w:tc>
        <w:tc>
          <w:tcPr>
            <w:tcW w:w="1876" w:type="dxa"/>
            <w:tcBorders>
              <w:bottom w:val="single" w:sz="4" w:space="0" w:color="auto"/>
            </w:tcBorders>
            <w:shd w:val="clear" w:color="auto" w:fill="D9E2F3" w:themeFill="accent1" w:themeFillTint="33"/>
          </w:tcPr>
          <w:p w14:paraId="356B27EB" w14:textId="5A163F30"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F07B61">
              <w:rPr>
                <w:rFonts w:asciiTheme="minorHAnsi" w:eastAsia="Calibri" w:hAnsiTheme="minorHAnsi" w:cstheme="minorHAnsi"/>
                <w:sz w:val="16"/>
                <w:szCs w:val="16"/>
              </w:rPr>
              <w:t>Didáctica de las Ciencias Sociales</w:t>
            </w:r>
          </w:p>
        </w:tc>
        <w:tc>
          <w:tcPr>
            <w:tcW w:w="3502" w:type="dxa"/>
            <w:tcBorders>
              <w:bottom w:val="single" w:sz="4" w:space="0" w:color="auto"/>
            </w:tcBorders>
            <w:shd w:val="clear" w:color="auto" w:fill="D9E2F3" w:themeFill="accent1" w:themeFillTint="33"/>
          </w:tcPr>
          <w:p w14:paraId="42C74342" w14:textId="1418AA2D" w:rsidR="00D5722F" w:rsidRPr="00542BFD" w:rsidRDefault="00D5722F"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1C6AF5">
              <w:rPr>
                <w:rFonts w:asciiTheme="minorHAnsi" w:hAnsiTheme="minorHAnsi" w:cstheme="minorHAnsi"/>
                <w:color w:val="006A9D"/>
                <w:sz w:val="16"/>
                <w:szCs w:val="16"/>
              </w:rPr>
              <w:t>Con la propuesta de trabajo que se oferta se pretende que el alumnado diseñe un proyecto de intervención educativa, dirigido a colectivos en exclusión social o en riesgo de ello, centrado en temáticas contextualizas en el entorno y relacionadas con retos de la sociedad actual, esto es, con limitaciones, dificultades, conflictos o problemas que se presentan en el entorno en el que se desarrolla la experiencia de los sujetos del colectivo necesitado de atención socio-educativa.  El proyecto de intervención pretende contribuir a una campaña de alfabetización social, partiendo del centro de interés, reforzar técnicas instrumentales básicas, como la lectura comprensiva, la expresión oral y escrita, el análisis de distintos documentos, la capacidad de debatir, etc. Tres son los ejes que vertebran el trabajo: Colectivos en exclusión social o en riesgo de ello, cambios sociales y retos que caracterizan el entorno y el papel que las tecnologías de la información y de la comunicación tienen en la sociedad actual y cómo pueden contribuir a la integración social.</w:t>
            </w:r>
          </w:p>
        </w:tc>
      </w:tr>
      <w:tr w:rsidR="00D5722F" w:rsidRPr="00542BFD" w14:paraId="6999E28F" w14:textId="77777777" w:rsidTr="00306971">
        <w:trPr>
          <w:jc w:val="center"/>
        </w:trPr>
        <w:tc>
          <w:tcPr>
            <w:tcW w:w="562" w:type="dxa"/>
            <w:tcBorders>
              <w:bottom w:val="single" w:sz="4" w:space="0" w:color="auto"/>
            </w:tcBorders>
            <w:shd w:val="clear" w:color="auto" w:fill="E7E6E6" w:themeFill="background2"/>
          </w:tcPr>
          <w:p w14:paraId="3A8A8D81" w14:textId="26637D04" w:rsidR="00D5722F" w:rsidRPr="00542BFD" w:rsidRDefault="00D5722F" w:rsidP="00591800">
            <w:pPr>
              <w:rPr>
                <w:shd w:val="clear" w:color="auto" w:fill="FFE599" w:themeFill="accent4" w:themeFillTint="66"/>
              </w:rPr>
            </w:pPr>
            <w:r>
              <w:t>29</w:t>
            </w:r>
          </w:p>
        </w:tc>
        <w:tc>
          <w:tcPr>
            <w:tcW w:w="1655" w:type="dxa"/>
            <w:tcBorders>
              <w:bottom w:val="single" w:sz="4" w:space="0" w:color="auto"/>
            </w:tcBorders>
            <w:shd w:val="clear" w:color="auto" w:fill="E7E6E6" w:themeFill="background2"/>
          </w:tcPr>
          <w:p w14:paraId="70636587" w14:textId="51BFD15A" w:rsidR="00D5722F" w:rsidRPr="00542BFD" w:rsidRDefault="00D5722F" w:rsidP="00542BFD">
            <w:pPr>
              <w:shd w:val="clear" w:color="auto" w:fill="FFE599" w:themeFill="accent4" w:themeFillTint="66"/>
              <w:rPr>
                <w:rFonts w:asciiTheme="minorHAnsi" w:hAnsiTheme="minorHAnsi" w:cstheme="minorHAnsi"/>
                <w:sz w:val="16"/>
                <w:szCs w:val="16"/>
                <w:shd w:val="clear" w:color="auto" w:fill="FFE599" w:themeFill="accent4" w:themeFillTint="66"/>
              </w:rPr>
            </w:pPr>
            <w:r w:rsidRPr="00F07B61">
              <w:rPr>
                <w:rFonts w:asciiTheme="minorHAnsi" w:hAnsiTheme="minorHAnsi" w:cstheme="minorHAnsi"/>
                <w:sz w:val="16"/>
                <w:szCs w:val="16"/>
              </w:rPr>
              <w:t>Lenguaje y poder</w:t>
            </w:r>
          </w:p>
        </w:tc>
        <w:tc>
          <w:tcPr>
            <w:tcW w:w="1518" w:type="dxa"/>
            <w:tcBorders>
              <w:bottom w:val="single" w:sz="4" w:space="0" w:color="auto"/>
            </w:tcBorders>
            <w:shd w:val="clear" w:color="auto" w:fill="E7E6E6" w:themeFill="background2"/>
          </w:tcPr>
          <w:p w14:paraId="303AD9D0" w14:textId="19E87EBA" w:rsidR="00D5722F" w:rsidRPr="00542BFD" w:rsidRDefault="00D5722F" w:rsidP="00591800">
            <w:pPr>
              <w:rPr>
                <w:rFonts w:asciiTheme="minorHAnsi" w:hAnsiTheme="minorHAnsi" w:cstheme="minorHAnsi"/>
                <w:sz w:val="16"/>
                <w:szCs w:val="16"/>
                <w:shd w:val="clear" w:color="auto" w:fill="FFE599" w:themeFill="accent4" w:themeFillTint="66"/>
              </w:rPr>
            </w:pPr>
            <w:r w:rsidRPr="00F07B61">
              <w:rPr>
                <w:rFonts w:asciiTheme="minorHAnsi" w:hAnsiTheme="minorHAnsi" w:cstheme="minorHAnsi"/>
                <w:sz w:val="16"/>
                <w:szCs w:val="16"/>
              </w:rPr>
              <w:t>Antonio González Vázquez</w:t>
            </w:r>
          </w:p>
        </w:tc>
        <w:tc>
          <w:tcPr>
            <w:tcW w:w="1876" w:type="dxa"/>
            <w:tcBorders>
              <w:bottom w:val="single" w:sz="4" w:space="0" w:color="auto"/>
            </w:tcBorders>
            <w:shd w:val="clear" w:color="auto" w:fill="E7E6E6" w:themeFill="background2"/>
          </w:tcPr>
          <w:p w14:paraId="3ADCAC1B" w14:textId="7EBE810D" w:rsidR="00D5722F" w:rsidRPr="00542BFD" w:rsidRDefault="00D5722F" w:rsidP="00591800">
            <w:pPr>
              <w:rPr>
                <w:rFonts w:asciiTheme="minorHAnsi" w:hAnsiTheme="minorHAnsi" w:cstheme="minorHAnsi"/>
                <w:sz w:val="16"/>
                <w:szCs w:val="16"/>
                <w:shd w:val="clear" w:color="auto" w:fill="FFE599" w:themeFill="accent4" w:themeFillTint="66"/>
              </w:rPr>
            </w:pPr>
            <w:r w:rsidRPr="00F07B61">
              <w:rPr>
                <w:rFonts w:asciiTheme="minorHAnsi" w:eastAsia="Calibri" w:hAnsiTheme="minorHAnsi" w:cstheme="minorHAnsi"/>
                <w:sz w:val="16"/>
                <w:szCs w:val="16"/>
              </w:rPr>
              <w:t>Didáctica de la Lengua y la Literatura</w:t>
            </w:r>
          </w:p>
        </w:tc>
        <w:tc>
          <w:tcPr>
            <w:tcW w:w="3502" w:type="dxa"/>
            <w:tcBorders>
              <w:bottom w:val="single" w:sz="4" w:space="0" w:color="auto"/>
            </w:tcBorders>
            <w:shd w:val="clear" w:color="auto" w:fill="E7E6E6" w:themeFill="background2"/>
          </w:tcPr>
          <w:p w14:paraId="3EC368D7" w14:textId="0FADE506" w:rsidR="00D5722F" w:rsidRPr="00542BFD" w:rsidRDefault="00D5722F" w:rsidP="00591800">
            <w:pPr>
              <w:rPr>
                <w:rFonts w:asciiTheme="minorHAnsi" w:hAnsiTheme="minorHAnsi" w:cstheme="minorHAnsi"/>
                <w:sz w:val="16"/>
                <w:szCs w:val="16"/>
                <w:shd w:val="clear" w:color="auto" w:fill="FFE599" w:themeFill="accent4" w:themeFillTint="66"/>
              </w:rPr>
            </w:pPr>
            <w:r w:rsidRPr="00F07B61">
              <w:rPr>
                <w:rFonts w:asciiTheme="minorHAnsi" w:hAnsiTheme="minorHAnsi" w:cstheme="minorHAnsi"/>
                <w:sz w:val="16"/>
                <w:szCs w:val="16"/>
              </w:rPr>
              <w:t>Trabajos donde se esclarezcan las relaciones de poder bajo el uso del discurso</w:t>
            </w:r>
          </w:p>
        </w:tc>
      </w:tr>
      <w:tr w:rsidR="00D5722F" w14:paraId="59FA42A4" w14:textId="77777777" w:rsidTr="00306971">
        <w:trPr>
          <w:jc w:val="center"/>
        </w:trPr>
        <w:tc>
          <w:tcPr>
            <w:tcW w:w="562" w:type="dxa"/>
            <w:tcBorders>
              <w:bottom w:val="single" w:sz="4" w:space="0" w:color="auto"/>
            </w:tcBorders>
            <w:shd w:val="clear" w:color="auto" w:fill="FBE4D5" w:themeFill="accent2" w:themeFillTint="33"/>
          </w:tcPr>
          <w:p w14:paraId="4F957BB6" w14:textId="7FAE68FA" w:rsidR="00D5722F" w:rsidRDefault="00D5722F" w:rsidP="00591800">
            <w:r>
              <w:t>30</w:t>
            </w:r>
          </w:p>
        </w:tc>
        <w:tc>
          <w:tcPr>
            <w:tcW w:w="1655" w:type="dxa"/>
            <w:tcBorders>
              <w:bottom w:val="single" w:sz="4" w:space="0" w:color="auto"/>
            </w:tcBorders>
            <w:shd w:val="clear" w:color="auto" w:fill="FBE4D5" w:themeFill="accent2" w:themeFillTint="33"/>
          </w:tcPr>
          <w:p w14:paraId="13FB63FB" w14:textId="77777777" w:rsidR="00D5722F" w:rsidRDefault="00D5722F" w:rsidP="00360F16">
            <w:pPr>
              <w:rPr>
                <w:rFonts w:asciiTheme="minorHAnsi" w:hAnsiTheme="minorHAnsi"/>
                <w:sz w:val="16"/>
                <w:szCs w:val="16"/>
              </w:rPr>
            </w:pPr>
            <w:r>
              <w:rPr>
                <w:rFonts w:asciiTheme="minorHAnsi" w:hAnsiTheme="minorHAnsi"/>
                <w:sz w:val="16"/>
                <w:szCs w:val="16"/>
              </w:rPr>
              <w:t>Los problemas derivados del uso y abuso de los envases de plástico</w:t>
            </w:r>
          </w:p>
          <w:p w14:paraId="34B7E74F" w14:textId="60FE39C7" w:rsidR="00D5722F" w:rsidRPr="00F07B61" w:rsidRDefault="00D5722F" w:rsidP="00591800">
            <w:pPr>
              <w:rPr>
                <w:rFonts w:asciiTheme="minorHAnsi" w:hAnsiTheme="minorHAnsi" w:cstheme="minorHAnsi"/>
                <w:sz w:val="16"/>
                <w:szCs w:val="16"/>
              </w:rPr>
            </w:pPr>
          </w:p>
        </w:tc>
        <w:tc>
          <w:tcPr>
            <w:tcW w:w="1518" w:type="dxa"/>
            <w:tcBorders>
              <w:bottom w:val="single" w:sz="4" w:space="0" w:color="auto"/>
            </w:tcBorders>
            <w:shd w:val="clear" w:color="auto" w:fill="FBE4D5" w:themeFill="accent2" w:themeFillTint="33"/>
          </w:tcPr>
          <w:p w14:paraId="0E3194A6" w14:textId="1DBBA26B" w:rsidR="00D5722F" w:rsidRPr="00F07B61" w:rsidRDefault="00D5722F" w:rsidP="00591800">
            <w:pPr>
              <w:rPr>
                <w:rFonts w:asciiTheme="minorHAnsi" w:hAnsiTheme="minorHAnsi" w:cstheme="minorHAnsi"/>
                <w:sz w:val="16"/>
                <w:szCs w:val="16"/>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José Aznar Unzurrunzaga</w:t>
            </w:r>
          </w:p>
        </w:tc>
        <w:tc>
          <w:tcPr>
            <w:tcW w:w="1876" w:type="dxa"/>
            <w:tcBorders>
              <w:bottom w:val="single" w:sz="4" w:space="0" w:color="auto"/>
            </w:tcBorders>
            <w:shd w:val="clear" w:color="auto" w:fill="FBE4D5" w:themeFill="accent2" w:themeFillTint="33"/>
          </w:tcPr>
          <w:p w14:paraId="1F205AB4" w14:textId="75C34179" w:rsidR="00D5722F" w:rsidRPr="00F07B61" w:rsidRDefault="00D5722F" w:rsidP="00591800">
            <w:pPr>
              <w:rPr>
                <w:rFonts w:asciiTheme="minorHAnsi" w:hAnsiTheme="minorHAnsi" w:cstheme="minorHAnsi"/>
                <w:sz w:val="16"/>
                <w:szCs w:val="16"/>
              </w:rPr>
            </w:pPr>
            <w:r w:rsidRPr="00F07B61">
              <w:rPr>
                <w:rFonts w:asciiTheme="minorHAnsi" w:eastAsia="Calibri" w:hAnsiTheme="minorHAnsi" w:cstheme="minorHAnsi"/>
                <w:sz w:val="16"/>
                <w:szCs w:val="16"/>
              </w:rPr>
              <w:t>Economía internacional y de España</w:t>
            </w:r>
          </w:p>
        </w:tc>
        <w:tc>
          <w:tcPr>
            <w:tcW w:w="3502" w:type="dxa"/>
            <w:tcBorders>
              <w:bottom w:val="single" w:sz="4" w:space="0" w:color="auto"/>
            </w:tcBorders>
            <w:shd w:val="clear" w:color="auto" w:fill="FBE4D5" w:themeFill="accent2" w:themeFillTint="33"/>
          </w:tcPr>
          <w:p w14:paraId="37448049" w14:textId="3209AA70" w:rsidR="00D5722F" w:rsidRPr="00F07B61" w:rsidRDefault="00D5722F" w:rsidP="00591800">
            <w:pPr>
              <w:rPr>
                <w:rFonts w:asciiTheme="minorHAnsi" w:hAnsiTheme="minorHAnsi" w:cstheme="minorHAnsi"/>
                <w:sz w:val="16"/>
                <w:szCs w:val="16"/>
              </w:rPr>
            </w:pPr>
            <w:r>
              <w:rPr>
                <w:rFonts w:asciiTheme="minorHAnsi" w:hAnsiTheme="minorHAnsi"/>
                <w:sz w:val="16"/>
                <w:szCs w:val="16"/>
              </w:rPr>
              <w:t>En la vida actual es sumamente difícil desprenderse de la comodidad de los envases y embalajes de plástico y sus derivados. Los residuos de tales materiales están generando una situación insostenible en los entornos naturales terrestre y marino. A nivel social, se trata de un problema gravísimo, que puede tener drásticas consecuencias de no aplicarse medidas eficaces.  Este TFG trata de profundizar en esta temática, buscando las alternativas idóneas frente al problema, desde el plano socioeconómico.</w:t>
            </w:r>
          </w:p>
        </w:tc>
      </w:tr>
      <w:tr w:rsidR="00D5722F" w14:paraId="13F7A8DD" w14:textId="77777777" w:rsidTr="00306971">
        <w:trPr>
          <w:jc w:val="center"/>
        </w:trPr>
        <w:tc>
          <w:tcPr>
            <w:tcW w:w="562" w:type="dxa"/>
            <w:tcBorders>
              <w:bottom w:val="single" w:sz="4" w:space="0" w:color="auto"/>
            </w:tcBorders>
            <w:shd w:val="clear" w:color="auto" w:fill="C5E0B3" w:themeFill="accent6" w:themeFillTint="66"/>
          </w:tcPr>
          <w:p w14:paraId="70DB6A69" w14:textId="19B3A721" w:rsidR="00D5722F" w:rsidRDefault="00D5722F" w:rsidP="00591800">
            <w:r>
              <w:t>31</w:t>
            </w:r>
          </w:p>
        </w:tc>
        <w:tc>
          <w:tcPr>
            <w:tcW w:w="1655" w:type="dxa"/>
            <w:tcBorders>
              <w:bottom w:val="single" w:sz="4" w:space="0" w:color="auto"/>
            </w:tcBorders>
            <w:shd w:val="clear" w:color="auto" w:fill="C5E0B3" w:themeFill="accent6" w:themeFillTint="66"/>
          </w:tcPr>
          <w:p w14:paraId="1C1F4C58" w14:textId="77777777" w:rsidR="00D5722F" w:rsidRPr="00F07B61" w:rsidRDefault="00D5722F" w:rsidP="00A9591D">
            <w:pPr>
              <w:rPr>
                <w:rFonts w:asciiTheme="minorHAnsi" w:hAnsiTheme="minorHAnsi" w:cstheme="minorHAnsi"/>
                <w:sz w:val="16"/>
                <w:szCs w:val="16"/>
              </w:rPr>
            </w:pPr>
            <w:r w:rsidRPr="00F07B61">
              <w:rPr>
                <w:rFonts w:asciiTheme="minorHAnsi" w:hAnsiTheme="minorHAnsi" w:cstheme="minorHAnsi"/>
                <w:sz w:val="16"/>
                <w:szCs w:val="16"/>
              </w:rPr>
              <w:t>Propuestas didácticas e ideas previas relativas a conceptos y problemáticas medioambientales</w:t>
            </w:r>
          </w:p>
          <w:p w14:paraId="68484AA9" w14:textId="35E31EC5" w:rsidR="00D5722F" w:rsidRPr="00F07B61" w:rsidRDefault="00D5722F" w:rsidP="00591800">
            <w:pPr>
              <w:rPr>
                <w:rFonts w:asciiTheme="minorHAnsi" w:hAnsiTheme="minorHAnsi" w:cstheme="minorHAnsi"/>
                <w:sz w:val="16"/>
                <w:szCs w:val="16"/>
              </w:rPr>
            </w:pPr>
          </w:p>
        </w:tc>
        <w:tc>
          <w:tcPr>
            <w:tcW w:w="1518" w:type="dxa"/>
            <w:tcBorders>
              <w:bottom w:val="single" w:sz="4" w:space="0" w:color="auto"/>
            </w:tcBorders>
            <w:shd w:val="clear" w:color="auto" w:fill="C5E0B3" w:themeFill="accent6" w:themeFillTint="66"/>
          </w:tcPr>
          <w:p w14:paraId="337AD552" w14:textId="77777777" w:rsidR="00D5722F" w:rsidRPr="00F07B61" w:rsidRDefault="00D5722F" w:rsidP="00A9591D">
            <w:pPr>
              <w:rPr>
                <w:rFonts w:asciiTheme="minorHAnsi" w:hAnsiTheme="minorHAnsi" w:cstheme="minorHAnsi"/>
                <w:sz w:val="16"/>
                <w:szCs w:val="16"/>
              </w:rPr>
            </w:pPr>
            <w:r w:rsidRPr="00F07B61">
              <w:rPr>
                <w:rFonts w:asciiTheme="minorHAnsi" w:hAnsiTheme="minorHAnsi" w:cstheme="minorHAnsi"/>
                <w:sz w:val="16"/>
                <w:szCs w:val="16"/>
              </w:rPr>
              <w:t xml:space="preserve">Sergio David </w:t>
            </w:r>
          </w:p>
          <w:p w14:paraId="0A568AED" w14:textId="77777777" w:rsidR="00D5722F" w:rsidRPr="00F07B61" w:rsidRDefault="00D5722F" w:rsidP="00A9591D">
            <w:pPr>
              <w:rPr>
                <w:rFonts w:asciiTheme="minorHAnsi" w:hAnsiTheme="minorHAnsi" w:cstheme="minorHAnsi"/>
                <w:sz w:val="16"/>
                <w:szCs w:val="16"/>
              </w:rPr>
            </w:pPr>
            <w:r w:rsidRPr="00F07B61">
              <w:rPr>
                <w:rFonts w:asciiTheme="minorHAnsi" w:hAnsiTheme="minorHAnsi" w:cstheme="minorHAnsi"/>
                <w:sz w:val="16"/>
                <w:szCs w:val="16"/>
              </w:rPr>
              <w:t xml:space="preserve">Barón López </w:t>
            </w:r>
          </w:p>
          <w:p w14:paraId="1A9E4499" w14:textId="77C09E03" w:rsidR="00D5722F" w:rsidRPr="00F07B61" w:rsidRDefault="00D5722F" w:rsidP="00591800">
            <w:pPr>
              <w:rPr>
                <w:rFonts w:asciiTheme="minorHAnsi" w:hAnsiTheme="minorHAnsi" w:cstheme="minorHAnsi"/>
                <w:sz w:val="16"/>
                <w:szCs w:val="16"/>
              </w:rPr>
            </w:pPr>
          </w:p>
        </w:tc>
        <w:tc>
          <w:tcPr>
            <w:tcW w:w="1876" w:type="dxa"/>
            <w:tcBorders>
              <w:bottom w:val="single" w:sz="4" w:space="0" w:color="auto"/>
            </w:tcBorders>
            <w:shd w:val="clear" w:color="auto" w:fill="C5E0B3" w:themeFill="accent6" w:themeFillTint="66"/>
          </w:tcPr>
          <w:p w14:paraId="3C5DC69D" w14:textId="1BE74B1A" w:rsidR="00D5722F" w:rsidRPr="00F07B61" w:rsidRDefault="00D5722F" w:rsidP="00591800">
            <w:pPr>
              <w:rPr>
                <w:rFonts w:asciiTheme="minorHAnsi" w:hAnsiTheme="minorHAnsi" w:cstheme="minorHAnsi"/>
                <w:sz w:val="16"/>
                <w:szCs w:val="16"/>
              </w:rPr>
            </w:pPr>
            <w:r w:rsidRPr="00F07B61">
              <w:rPr>
                <w:rFonts w:asciiTheme="minorHAnsi" w:eastAsia="Calibri" w:hAnsiTheme="minorHAnsi" w:cstheme="minorHAnsi"/>
                <w:sz w:val="16"/>
                <w:szCs w:val="16"/>
              </w:rPr>
              <w:t>Didáctica de las Ciencias Experimentales</w:t>
            </w:r>
          </w:p>
        </w:tc>
        <w:tc>
          <w:tcPr>
            <w:tcW w:w="3502" w:type="dxa"/>
            <w:tcBorders>
              <w:bottom w:val="single" w:sz="4" w:space="0" w:color="auto"/>
            </w:tcBorders>
            <w:shd w:val="clear" w:color="auto" w:fill="C5E0B3" w:themeFill="accent6" w:themeFillTint="66"/>
          </w:tcPr>
          <w:p w14:paraId="09BA0823" w14:textId="77777777" w:rsidR="00D5722F" w:rsidRPr="00F07B61" w:rsidRDefault="00D5722F" w:rsidP="00A9591D">
            <w:pPr>
              <w:rPr>
                <w:rFonts w:asciiTheme="minorHAnsi" w:hAnsiTheme="minorHAnsi" w:cstheme="minorHAnsi"/>
                <w:sz w:val="16"/>
                <w:szCs w:val="16"/>
              </w:rPr>
            </w:pPr>
            <w:r w:rsidRPr="00F07B61">
              <w:rPr>
                <w:rFonts w:asciiTheme="minorHAnsi" w:hAnsiTheme="minorHAnsi" w:cstheme="minorHAnsi"/>
                <w:sz w:val="16"/>
                <w:szCs w:val="16"/>
              </w:rPr>
              <w:t xml:space="preserve">El objetivo de esta línea de investigación es la determinación y análisis de las ideas previas presentes en la población sobre conceptos y problemáticas </w:t>
            </w:r>
            <w:proofErr w:type="gramStart"/>
            <w:r w:rsidRPr="00F07B61">
              <w:rPr>
                <w:rFonts w:asciiTheme="minorHAnsi" w:hAnsiTheme="minorHAnsi" w:cstheme="minorHAnsi"/>
                <w:sz w:val="16"/>
                <w:szCs w:val="16"/>
              </w:rPr>
              <w:t>medioambientales</w:t>
            </w:r>
            <w:proofErr w:type="gramEnd"/>
            <w:r w:rsidRPr="00F07B61">
              <w:rPr>
                <w:rFonts w:asciiTheme="minorHAnsi" w:hAnsiTheme="minorHAnsi" w:cstheme="minorHAnsi"/>
                <w:sz w:val="16"/>
                <w:szCs w:val="16"/>
              </w:rPr>
              <w:t xml:space="preserve"> así como la elaboración y evaluación de propuestas didácticas para la difusión de una correcta información y un </w:t>
            </w:r>
            <w:r w:rsidRPr="00F07B61">
              <w:rPr>
                <w:rFonts w:asciiTheme="minorHAnsi" w:hAnsiTheme="minorHAnsi" w:cstheme="minorHAnsi"/>
                <w:sz w:val="16"/>
                <w:szCs w:val="16"/>
              </w:rPr>
              <w:lastRenderedPageBreak/>
              <w:t>mejor aprendizaje de estos conceptos y problemáticas.</w:t>
            </w:r>
          </w:p>
          <w:p w14:paraId="35297EF1" w14:textId="1338EBC8" w:rsidR="00D5722F" w:rsidRPr="00F07B61" w:rsidRDefault="00D5722F" w:rsidP="00542BFD">
            <w:pPr>
              <w:jc w:val="both"/>
              <w:rPr>
                <w:rFonts w:asciiTheme="minorHAnsi" w:hAnsiTheme="minorHAnsi" w:cstheme="minorHAnsi"/>
                <w:sz w:val="16"/>
                <w:szCs w:val="16"/>
              </w:rPr>
            </w:pPr>
          </w:p>
        </w:tc>
      </w:tr>
      <w:tr w:rsidR="00D5722F" w14:paraId="1794543F" w14:textId="77777777" w:rsidTr="00306971">
        <w:trPr>
          <w:jc w:val="center"/>
        </w:trPr>
        <w:tc>
          <w:tcPr>
            <w:tcW w:w="562" w:type="dxa"/>
            <w:shd w:val="clear" w:color="auto" w:fill="D9E2F3" w:themeFill="accent1" w:themeFillTint="33"/>
          </w:tcPr>
          <w:p w14:paraId="1F15DA70" w14:textId="107CD8F2" w:rsidR="00D5722F" w:rsidRDefault="00D5722F" w:rsidP="00591800">
            <w:r>
              <w:lastRenderedPageBreak/>
              <w:t>32</w:t>
            </w:r>
          </w:p>
        </w:tc>
        <w:tc>
          <w:tcPr>
            <w:tcW w:w="1655" w:type="dxa"/>
            <w:shd w:val="clear" w:color="auto" w:fill="D9E2F3" w:themeFill="accent1" w:themeFillTint="33"/>
          </w:tcPr>
          <w:p w14:paraId="209B7B28" w14:textId="77777777" w:rsidR="00D5722F" w:rsidRPr="00542BFD" w:rsidRDefault="00D5722F" w:rsidP="00F07B61">
            <w:pPr>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El medio ambiente y los educadores sociales</w:t>
            </w:r>
          </w:p>
          <w:p w14:paraId="2469BE5A" w14:textId="5A6FE752" w:rsidR="00D5722F" w:rsidRPr="00F07B61" w:rsidRDefault="00D5722F" w:rsidP="00591800">
            <w:pPr>
              <w:rPr>
                <w:rFonts w:asciiTheme="minorHAnsi" w:hAnsiTheme="minorHAnsi" w:cstheme="minorHAnsi"/>
                <w:sz w:val="16"/>
                <w:szCs w:val="16"/>
              </w:rPr>
            </w:pPr>
          </w:p>
        </w:tc>
        <w:tc>
          <w:tcPr>
            <w:tcW w:w="1518" w:type="dxa"/>
            <w:shd w:val="clear" w:color="auto" w:fill="D9E2F3" w:themeFill="accent1" w:themeFillTint="33"/>
          </w:tcPr>
          <w:p w14:paraId="07D06CB3" w14:textId="77777777" w:rsidR="00D5722F" w:rsidRPr="00542BFD" w:rsidRDefault="00D5722F" w:rsidP="00F07B61">
            <w:pPr>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M Cristina Sánchez Prieto</w:t>
            </w:r>
          </w:p>
          <w:p w14:paraId="4122A63C" w14:textId="488D1411" w:rsidR="00D5722F" w:rsidRPr="00F07B61" w:rsidRDefault="00D5722F" w:rsidP="00591800">
            <w:pPr>
              <w:rPr>
                <w:rFonts w:asciiTheme="minorHAnsi" w:hAnsiTheme="minorHAnsi" w:cstheme="minorHAnsi"/>
                <w:sz w:val="16"/>
                <w:szCs w:val="16"/>
              </w:rPr>
            </w:pPr>
          </w:p>
        </w:tc>
        <w:tc>
          <w:tcPr>
            <w:tcW w:w="1876" w:type="dxa"/>
            <w:shd w:val="clear" w:color="auto" w:fill="D9E2F3" w:themeFill="accent1" w:themeFillTint="33"/>
          </w:tcPr>
          <w:p w14:paraId="41A41CB1" w14:textId="6D75B863" w:rsidR="00D5722F" w:rsidRPr="00F07B61" w:rsidRDefault="00D5722F" w:rsidP="00591800">
            <w:pPr>
              <w:rPr>
                <w:rFonts w:asciiTheme="minorHAnsi" w:hAnsiTheme="minorHAnsi" w:cstheme="minorHAnsi"/>
                <w:sz w:val="16"/>
                <w:szCs w:val="16"/>
              </w:rPr>
            </w:pPr>
            <w:r w:rsidRPr="00F07B61">
              <w:rPr>
                <w:rFonts w:asciiTheme="minorHAnsi" w:eastAsia="Calibri" w:hAnsiTheme="minorHAnsi" w:cstheme="minorHAnsi"/>
                <w:sz w:val="16"/>
                <w:szCs w:val="16"/>
              </w:rPr>
              <w:t>Zoología</w:t>
            </w:r>
          </w:p>
        </w:tc>
        <w:tc>
          <w:tcPr>
            <w:tcW w:w="3502" w:type="dxa"/>
            <w:shd w:val="clear" w:color="auto" w:fill="D9E2F3" w:themeFill="accent1" w:themeFillTint="33"/>
          </w:tcPr>
          <w:p w14:paraId="582F9045" w14:textId="77777777" w:rsidR="00D5722F" w:rsidRPr="00F07B61" w:rsidRDefault="00D5722F" w:rsidP="00F07B61">
            <w:pPr>
              <w:pStyle w:val="NormalWeb"/>
              <w:spacing w:before="0" w:beforeAutospacing="0"/>
              <w:rPr>
                <w:rFonts w:asciiTheme="minorHAnsi" w:hAnsiTheme="minorHAnsi" w:cstheme="minorHAnsi"/>
                <w:sz w:val="16"/>
                <w:szCs w:val="16"/>
              </w:rPr>
            </w:pPr>
            <w:r w:rsidRPr="00F07B61">
              <w:rPr>
                <w:rFonts w:asciiTheme="minorHAnsi" w:hAnsiTheme="minorHAnsi" w:cstheme="minorHAnsi"/>
                <w:sz w:val="16"/>
                <w:szCs w:val="16"/>
              </w:rPr>
              <w:t>En esta línea se estudiará el papel de los educadores sociales en el cambio de mentalidad social necesario para frenar el cambio climático, y abordar las problemáticas ambientales, además de las posibilidades laborales que ofrece el medio ambiente para los egresados de la Educación Social.</w:t>
            </w:r>
          </w:p>
          <w:p w14:paraId="33BE8CE5" w14:textId="77777777" w:rsidR="00D5722F" w:rsidRPr="00F07B61" w:rsidRDefault="00D5722F" w:rsidP="00F07B61">
            <w:pPr>
              <w:pStyle w:val="NormalWeb"/>
              <w:spacing w:before="0" w:beforeAutospacing="0"/>
              <w:rPr>
                <w:rFonts w:asciiTheme="minorHAnsi" w:hAnsiTheme="minorHAnsi" w:cstheme="minorHAnsi"/>
                <w:sz w:val="16"/>
                <w:szCs w:val="16"/>
              </w:rPr>
            </w:pPr>
          </w:p>
          <w:p w14:paraId="64FB4BB5" w14:textId="6B80E591" w:rsidR="00D5722F" w:rsidRPr="001C6AF5" w:rsidRDefault="00D5722F" w:rsidP="001C6AF5">
            <w:pPr>
              <w:pStyle w:val="NormalWeb"/>
              <w:spacing w:before="0" w:beforeAutospacing="0"/>
              <w:rPr>
                <w:rFonts w:asciiTheme="minorHAnsi" w:hAnsiTheme="minorHAnsi" w:cstheme="minorHAnsi"/>
                <w:color w:val="006A9D"/>
                <w:sz w:val="16"/>
                <w:szCs w:val="16"/>
              </w:rPr>
            </w:pPr>
          </w:p>
        </w:tc>
      </w:tr>
      <w:tr w:rsidR="00D5722F" w14:paraId="7BCB24CD" w14:textId="77777777" w:rsidTr="00306971">
        <w:trPr>
          <w:jc w:val="center"/>
        </w:trPr>
        <w:tc>
          <w:tcPr>
            <w:tcW w:w="562" w:type="dxa"/>
            <w:tcBorders>
              <w:bottom w:val="single" w:sz="4" w:space="0" w:color="auto"/>
            </w:tcBorders>
            <w:shd w:val="clear" w:color="auto" w:fill="C5E0B3" w:themeFill="accent6" w:themeFillTint="66"/>
          </w:tcPr>
          <w:p w14:paraId="3070A12C" w14:textId="30300143" w:rsidR="00D5722F" w:rsidRDefault="00D5722F" w:rsidP="00591800"/>
        </w:tc>
        <w:tc>
          <w:tcPr>
            <w:tcW w:w="1655" w:type="dxa"/>
            <w:tcBorders>
              <w:bottom w:val="single" w:sz="4" w:space="0" w:color="auto"/>
            </w:tcBorders>
            <w:shd w:val="clear" w:color="auto" w:fill="C5E0B3" w:themeFill="accent6" w:themeFillTint="66"/>
          </w:tcPr>
          <w:p w14:paraId="1E90B164" w14:textId="7CB5C870" w:rsidR="00D5722F" w:rsidRPr="00F07B61" w:rsidRDefault="00D5722F" w:rsidP="00591800">
            <w:pPr>
              <w:rPr>
                <w:rFonts w:asciiTheme="minorHAnsi" w:hAnsiTheme="minorHAnsi" w:cstheme="minorHAnsi"/>
                <w:sz w:val="16"/>
                <w:szCs w:val="16"/>
              </w:rPr>
            </w:pPr>
          </w:p>
        </w:tc>
        <w:tc>
          <w:tcPr>
            <w:tcW w:w="1518" w:type="dxa"/>
            <w:tcBorders>
              <w:bottom w:val="single" w:sz="4" w:space="0" w:color="auto"/>
            </w:tcBorders>
            <w:shd w:val="clear" w:color="auto" w:fill="C5E0B3" w:themeFill="accent6" w:themeFillTint="66"/>
          </w:tcPr>
          <w:p w14:paraId="75DD4A11" w14:textId="37AE1107" w:rsidR="00D5722F" w:rsidRPr="00F07B61" w:rsidRDefault="00D5722F" w:rsidP="00591800">
            <w:pPr>
              <w:rPr>
                <w:rFonts w:asciiTheme="minorHAnsi" w:hAnsiTheme="minorHAnsi" w:cstheme="minorHAnsi"/>
                <w:color w:val="2C363A"/>
                <w:sz w:val="16"/>
                <w:szCs w:val="16"/>
                <w:shd w:val="clear" w:color="auto" w:fill="FFFFFF"/>
              </w:rPr>
            </w:pPr>
          </w:p>
        </w:tc>
        <w:tc>
          <w:tcPr>
            <w:tcW w:w="1876" w:type="dxa"/>
            <w:tcBorders>
              <w:bottom w:val="single" w:sz="4" w:space="0" w:color="auto"/>
            </w:tcBorders>
            <w:shd w:val="clear" w:color="auto" w:fill="C5E0B3" w:themeFill="accent6" w:themeFillTint="66"/>
          </w:tcPr>
          <w:p w14:paraId="5F744AC7" w14:textId="3CAD3989" w:rsidR="00D5722F" w:rsidRPr="00F07B61" w:rsidRDefault="00D5722F" w:rsidP="00591800">
            <w:pPr>
              <w:rPr>
                <w:rFonts w:asciiTheme="minorHAnsi" w:hAnsiTheme="minorHAnsi" w:cstheme="minorHAnsi"/>
                <w:bCs/>
                <w:color w:val="2C363A"/>
                <w:sz w:val="16"/>
                <w:szCs w:val="16"/>
                <w:shd w:val="clear" w:color="auto" w:fill="FFFFFF"/>
              </w:rPr>
            </w:pPr>
          </w:p>
        </w:tc>
        <w:tc>
          <w:tcPr>
            <w:tcW w:w="3502" w:type="dxa"/>
            <w:tcBorders>
              <w:bottom w:val="single" w:sz="4" w:space="0" w:color="auto"/>
            </w:tcBorders>
            <w:shd w:val="clear" w:color="auto" w:fill="C5E0B3" w:themeFill="accent6" w:themeFillTint="66"/>
          </w:tcPr>
          <w:p w14:paraId="521E9F1E" w14:textId="1334091C" w:rsidR="00D5722F" w:rsidRPr="00F07B61" w:rsidRDefault="00D5722F" w:rsidP="00591800">
            <w:pPr>
              <w:rPr>
                <w:rFonts w:asciiTheme="minorHAnsi" w:hAnsiTheme="minorHAnsi" w:cstheme="minorHAnsi"/>
                <w:iCs/>
                <w:sz w:val="16"/>
                <w:szCs w:val="16"/>
              </w:rPr>
            </w:pPr>
          </w:p>
        </w:tc>
      </w:tr>
      <w:tr w:rsidR="00D5722F" w14:paraId="17498A35" w14:textId="77777777" w:rsidTr="00306971">
        <w:trPr>
          <w:jc w:val="center"/>
        </w:trPr>
        <w:tc>
          <w:tcPr>
            <w:tcW w:w="562" w:type="dxa"/>
            <w:shd w:val="clear" w:color="auto" w:fill="D9E2F3" w:themeFill="accent1" w:themeFillTint="33"/>
          </w:tcPr>
          <w:p w14:paraId="3B4FC3AF" w14:textId="0A4BE045" w:rsidR="00D5722F" w:rsidRDefault="00D5722F" w:rsidP="00591800"/>
        </w:tc>
        <w:tc>
          <w:tcPr>
            <w:tcW w:w="1655" w:type="dxa"/>
            <w:shd w:val="clear" w:color="auto" w:fill="D9E2F3" w:themeFill="accent1" w:themeFillTint="33"/>
          </w:tcPr>
          <w:p w14:paraId="36AC36B3" w14:textId="71A07C91" w:rsidR="00D5722F" w:rsidRPr="00F07B61" w:rsidRDefault="00D5722F" w:rsidP="00591800">
            <w:pPr>
              <w:rPr>
                <w:rFonts w:asciiTheme="minorHAnsi" w:hAnsiTheme="minorHAnsi" w:cstheme="minorHAnsi"/>
                <w:sz w:val="16"/>
                <w:szCs w:val="16"/>
              </w:rPr>
            </w:pPr>
          </w:p>
        </w:tc>
        <w:tc>
          <w:tcPr>
            <w:tcW w:w="1518" w:type="dxa"/>
            <w:shd w:val="clear" w:color="auto" w:fill="D9E2F3" w:themeFill="accent1" w:themeFillTint="33"/>
          </w:tcPr>
          <w:p w14:paraId="33E11E9A" w14:textId="3D2DF233" w:rsidR="00D5722F" w:rsidRPr="00F07B61" w:rsidRDefault="00D5722F" w:rsidP="00591800">
            <w:pPr>
              <w:rPr>
                <w:rFonts w:asciiTheme="minorHAnsi" w:hAnsiTheme="minorHAnsi" w:cstheme="minorHAnsi"/>
                <w:color w:val="2C363A"/>
                <w:sz w:val="16"/>
                <w:szCs w:val="16"/>
                <w:shd w:val="clear" w:color="auto" w:fill="FFFFFF"/>
              </w:rPr>
            </w:pPr>
          </w:p>
        </w:tc>
        <w:tc>
          <w:tcPr>
            <w:tcW w:w="1876" w:type="dxa"/>
            <w:shd w:val="clear" w:color="auto" w:fill="D9E2F3" w:themeFill="accent1" w:themeFillTint="33"/>
          </w:tcPr>
          <w:p w14:paraId="1C1065EB" w14:textId="1BE76D2B" w:rsidR="00D5722F" w:rsidRPr="00F07B61" w:rsidRDefault="00D5722F" w:rsidP="00591800">
            <w:pPr>
              <w:rPr>
                <w:rFonts w:asciiTheme="minorHAnsi" w:hAnsiTheme="minorHAnsi" w:cstheme="minorHAnsi"/>
                <w:color w:val="2C363A"/>
                <w:sz w:val="16"/>
                <w:szCs w:val="16"/>
                <w:shd w:val="clear" w:color="auto" w:fill="FFFFFF"/>
              </w:rPr>
            </w:pPr>
          </w:p>
        </w:tc>
        <w:tc>
          <w:tcPr>
            <w:tcW w:w="3502" w:type="dxa"/>
            <w:shd w:val="clear" w:color="auto" w:fill="D9E2F3" w:themeFill="accent1" w:themeFillTint="33"/>
          </w:tcPr>
          <w:p w14:paraId="1B61F039" w14:textId="711B8AA7" w:rsidR="00D5722F" w:rsidRPr="00F07B61" w:rsidRDefault="00D5722F" w:rsidP="00591800">
            <w:pPr>
              <w:rPr>
                <w:rFonts w:asciiTheme="minorHAnsi" w:hAnsiTheme="minorHAnsi" w:cstheme="minorHAnsi"/>
                <w:sz w:val="16"/>
                <w:szCs w:val="16"/>
              </w:rPr>
            </w:pPr>
          </w:p>
        </w:tc>
      </w:tr>
      <w:tr w:rsidR="00D5722F" w14:paraId="168B04A8" w14:textId="77777777" w:rsidTr="00CA7B92">
        <w:trPr>
          <w:jc w:val="center"/>
        </w:trPr>
        <w:tc>
          <w:tcPr>
            <w:tcW w:w="562" w:type="dxa"/>
            <w:shd w:val="clear" w:color="auto" w:fill="D9E2F3" w:themeFill="accent1" w:themeFillTint="33"/>
          </w:tcPr>
          <w:p w14:paraId="7B47E260" w14:textId="5864621C" w:rsidR="00D5722F" w:rsidRDefault="00D5722F" w:rsidP="00A9591D"/>
        </w:tc>
        <w:tc>
          <w:tcPr>
            <w:tcW w:w="1655" w:type="dxa"/>
            <w:shd w:val="clear" w:color="auto" w:fill="D9E2F3" w:themeFill="accent1" w:themeFillTint="33"/>
          </w:tcPr>
          <w:p w14:paraId="0FC475E3" w14:textId="3BAE4308" w:rsidR="00D5722F" w:rsidRPr="00F07B61" w:rsidRDefault="00D5722F" w:rsidP="00A9591D">
            <w:pPr>
              <w:rPr>
                <w:rFonts w:asciiTheme="minorHAnsi" w:hAnsiTheme="minorHAnsi" w:cstheme="minorHAnsi"/>
                <w:sz w:val="16"/>
                <w:szCs w:val="16"/>
              </w:rPr>
            </w:pPr>
          </w:p>
        </w:tc>
        <w:tc>
          <w:tcPr>
            <w:tcW w:w="1518" w:type="dxa"/>
            <w:shd w:val="clear" w:color="auto" w:fill="D9E2F3" w:themeFill="accent1" w:themeFillTint="33"/>
          </w:tcPr>
          <w:p w14:paraId="7EEB466D" w14:textId="3DE816DA" w:rsidR="00D5722F" w:rsidRPr="00F07B61" w:rsidRDefault="00D5722F" w:rsidP="00A9591D">
            <w:pPr>
              <w:rPr>
                <w:rFonts w:asciiTheme="minorHAnsi" w:hAnsiTheme="minorHAnsi" w:cstheme="minorHAnsi"/>
                <w:sz w:val="16"/>
                <w:szCs w:val="16"/>
              </w:rPr>
            </w:pPr>
          </w:p>
        </w:tc>
        <w:tc>
          <w:tcPr>
            <w:tcW w:w="1876" w:type="dxa"/>
            <w:shd w:val="clear" w:color="auto" w:fill="D9E2F3" w:themeFill="accent1" w:themeFillTint="33"/>
          </w:tcPr>
          <w:p w14:paraId="5FDFA390" w14:textId="1E1CF80A" w:rsidR="00D5722F" w:rsidRPr="00F07B61" w:rsidRDefault="00D5722F" w:rsidP="00A9591D">
            <w:pPr>
              <w:rPr>
                <w:rFonts w:asciiTheme="minorHAnsi" w:hAnsiTheme="minorHAnsi" w:cstheme="minorHAnsi"/>
                <w:sz w:val="16"/>
                <w:szCs w:val="16"/>
              </w:rPr>
            </w:pPr>
          </w:p>
        </w:tc>
        <w:tc>
          <w:tcPr>
            <w:tcW w:w="3502" w:type="dxa"/>
            <w:shd w:val="clear" w:color="auto" w:fill="D9E2F3" w:themeFill="accent1" w:themeFillTint="33"/>
          </w:tcPr>
          <w:p w14:paraId="2192C48C" w14:textId="73E0D547" w:rsidR="00D5722F" w:rsidRPr="00F07B61" w:rsidRDefault="00D5722F" w:rsidP="00A9591D">
            <w:pPr>
              <w:rPr>
                <w:rFonts w:asciiTheme="minorHAnsi" w:hAnsiTheme="minorHAnsi" w:cstheme="minorHAnsi"/>
                <w:sz w:val="16"/>
                <w:szCs w:val="16"/>
              </w:rPr>
            </w:pPr>
          </w:p>
        </w:tc>
      </w:tr>
      <w:tr w:rsidR="00D5722F" w14:paraId="50D97E9C" w14:textId="77777777" w:rsidTr="004B2FBA">
        <w:trPr>
          <w:jc w:val="center"/>
        </w:trPr>
        <w:tc>
          <w:tcPr>
            <w:tcW w:w="562" w:type="dxa"/>
            <w:shd w:val="clear" w:color="auto" w:fill="D9E2F3" w:themeFill="accent1" w:themeFillTint="33"/>
          </w:tcPr>
          <w:p w14:paraId="6E3E53AE" w14:textId="1C5C2E4B" w:rsidR="00D5722F" w:rsidRDefault="00D5722F" w:rsidP="00A9591D"/>
        </w:tc>
        <w:tc>
          <w:tcPr>
            <w:tcW w:w="1655" w:type="dxa"/>
            <w:shd w:val="clear" w:color="auto" w:fill="D9E2F3" w:themeFill="accent1" w:themeFillTint="33"/>
          </w:tcPr>
          <w:p w14:paraId="681D3252" w14:textId="4F9C8118" w:rsidR="00D5722F" w:rsidRPr="00542BFD" w:rsidRDefault="00D5722F" w:rsidP="00A9591D">
            <w:pPr>
              <w:rPr>
                <w:rFonts w:asciiTheme="minorHAnsi" w:hAnsiTheme="minorHAnsi" w:cstheme="minorHAnsi"/>
                <w:sz w:val="16"/>
                <w:szCs w:val="16"/>
                <w:shd w:val="clear" w:color="auto" w:fill="D9E2F3" w:themeFill="accent1" w:themeFillTint="33"/>
              </w:rPr>
            </w:pPr>
          </w:p>
        </w:tc>
        <w:tc>
          <w:tcPr>
            <w:tcW w:w="1518" w:type="dxa"/>
            <w:shd w:val="clear" w:color="auto" w:fill="D9E2F3" w:themeFill="accent1" w:themeFillTint="33"/>
          </w:tcPr>
          <w:p w14:paraId="43205439" w14:textId="54B00B41" w:rsidR="00D5722F" w:rsidRPr="00542BFD" w:rsidRDefault="00D5722F" w:rsidP="00A9591D">
            <w:pPr>
              <w:rPr>
                <w:rFonts w:asciiTheme="minorHAnsi" w:hAnsiTheme="minorHAnsi" w:cstheme="minorHAnsi"/>
                <w:sz w:val="16"/>
                <w:szCs w:val="16"/>
                <w:shd w:val="clear" w:color="auto" w:fill="D9E2F3" w:themeFill="accent1" w:themeFillTint="33"/>
              </w:rPr>
            </w:pPr>
          </w:p>
        </w:tc>
        <w:tc>
          <w:tcPr>
            <w:tcW w:w="1876" w:type="dxa"/>
            <w:shd w:val="clear" w:color="auto" w:fill="D9E2F3" w:themeFill="accent1" w:themeFillTint="33"/>
          </w:tcPr>
          <w:p w14:paraId="5BD4C3A9" w14:textId="1E14BB25" w:rsidR="00D5722F" w:rsidRPr="00F07B61" w:rsidRDefault="00D5722F" w:rsidP="00A9591D">
            <w:pPr>
              <w:rPr>
                <w:rFonts w:asciiTheme="minorHAnsi" w:hAnsiTheme="minorHAnsi" w:cstheme="minorHAnsi"/>
                <w:sz w:val="16"/>
                <w:szCs w:val="16"/>
              </w:rPr>
            </w:pPr>
          </w:p>
        </w:tc>
        <w:tc>
          <w:tcPr>
            <w:tcW w:w="3502" w:type="dxa"/>
            <w:shd w:val="clear" w:color="auto" w:fill="D9E2F3" w:themeFill="accent1" w:themeFillTint="33"/>
          </w:tcPr>
          <w:p w14:paraId="0C631997" w14:textId="5AC71902" w:rsidR="00D5722F" w:rsidRPr="00F07B61" w:rsidRDefault="00D5722F" w:rsidP="00A9591D">
            <w:pPr>
              <w:rPr>
                <w:rFonts w:asciiTheme="minorHAnsi" w:hAnsiTheme="minorHAnsi" w:cstheme="minorHAnsi"/>
                <w:sz w:val="16"/>
                <w:szCs w:val="16"/>
              </w:rPr>
            </w:pPr>
          </w:p>
        </w:tc>
      </w:tr>
    </w:tbl>
    <w:p w14:paraId="0820701C" w14:textId="77777777" w:rsidR="007C7611" w:rsidRDefault="007C7611"/>
    <w:sectPr w:rsidR="007C7611" w:rsidSect="0096737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9"/>
    <w:rsid w:val="00046981"/>
    <w:rsid w:val="000B2171"/>
    <w:rsid w:val="00186BC3"/>
    <w:rsid w:val="001C6AF5"/>
    <w:rsid w:val="002C3416"/>
    <w:rsid w:val="00360F16"/>
    <w:rsid w:val="004B2FBA"/>
    <w:rsid w:val="00542BFD"/>
    <w:rsid w:val="0058224F"/>
    <w:rsid w:val="00591800"/>
    <w:rsid w:val="007A355C"/>
    <w:rsid w:val="007C7611"/>
    <w:rsid w:val="00814708"/>
    <w:rsid w:val="00834A18"/>
    <w:rsid w:val="009129E0"/>
    <w:rsid w:val="009443B2"/>
    <w:rsid w:val="0096737A"/>
    <w:rsid w:val="00A9591D"/>
    <w:rsid w:val="00AB23E6"/>
    <w:rsid w:val="00BA2043"/>
    <w:rsid w:val="00CD7A60"/>
    <w:rsid w:val="00D5722F"/>
    <w:rsid w:val="00DB7F95"/>
    <w:rsid w:val="00E42559"/>
    <w:rsid w:val="00F07B61"/>
    <w:rsid w:val="00FF1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4BCC681"/>
  <w15:chartTrackingRefBased/>
  <w15:docId w15:val="{B8AEFA52-94E4-B047-9388-9E56C2D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0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2559"/>
    <w:pPr>
      <w:spacing w:before="100" w:beforeAutospacing="1" w:after="100" w:afterAutospacing="1"/>
    </w:pPr>
  </w:style>
  <w:style w:type="character" w:customStyle="1" w:styleId="adr">
    <w:name w:val="adr"/>
    <w:basedOn w:val="Fuentedeprrafopredeter"/>
    <w:rsid w:val="00E42559"/>
  </w:style>
  <w:style w:type="paragraph" w:customStyle="1" w:styleId="v1msonormal">
    <w:name w:val="v1msonormal"/>
    <w:basedOn w:val="Normal"/>
    <w:rsid w:val="00E42559"/>
    <w:pPr>
      <w:spacing w:before="100" w:beforeAutospacing="1" w:after="100" w:afterAutospacing="1"/>
    </w:pPr>
  </w:style>
  <w:style w:type="character" w:styleId="nfasis">
    <w:name w:val="Emphasis"/>
    <w:basedOn w:val="Fuentedeprrafopredeter"/>
    <w:uiPriority w:val="20"/>
    <w:qFormat/>
    <w:rsid w:val="00CD7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766">
      <w:bodyDiv w:val="1"/>
      <w:marLeft w:val="0"/>
      <w:marRight w:val="0"/>
      <w:marTop w:val="0"/>
      <w:marBottom w:val="0"/>
      <w:divBdr>
        <w:top w:val="none" w:sz="0" w:space="0" w:color="auto"/>
        <w:left w:val="none" w:sz="0" w:space="0" w:color="auto"/>
        <w:bottom w:val="none" w:sz="0" w:space="0" w:color="auto"/>
        <w:right w:val="none" w:sz="0" w:space="0" w:color="auto"/>
      </w:divBdr>
    </w:div>
    <w:div w:id="154808345">
      <w:bodyDiv w:val="1"/>
      <w:marLeft w:val="0"/>
      <w:marRight w:val="0"/>
      <w:marTop w:val="0"/>
      <w:marBottom w:val="0"/>
      <w:divBdr>
        <w:top w:val="none" w:sz="0" w:space="0" w:color="auto"/>
        <w:left w:val="none" w:sz="0" w:space="0" w:color="auto"/>
        <w:bottom w:val="none" w:sz="0" w:space="0" w:color="auto"/>
        <w:right w:val="none" w:sz="0" w:space="0" w:color="auto"/>
      </w:divBdr>
    </w:div>
    <w:div w:id="224993245">
      <w:bodyDiv w:val="1"/>
      <w:marLeft w:val="0"/>
      <w:marRight w:val="0"/>
      <w:marTop w:val="0"/>
      <w:marBottom w:val="0"/>
      <w:divBdr>
        <w:top w:val="none" w:sz="0" w:space="0" w:color="auto"/>
        <w:left w:val="none" w:sz="0" w:space="0" w:color="auto"/>
        <w:bottom w:val="none" w:sz="0" w:space="0" w:color="auto"/>
        <w:right w:val="none" w:sz="0" w:space="0" w:color="auto"/>
      </w:divBdr>
    </w:div>
    <w:div w:id="551381096">
      <w:bodyDiv w:val="1"/>
      <w:marLeft w:val="0"/>
      <w:marRight w:val="0"/>
      <w:marTop w:val="0"/>
      <w:marBottom w:val="0"/>
      <w:divBdr>
        <w:top w:val="none" w:sz="0" w:space="0" w:color="auto"/>
        <w:left w:val="none" w:sz="0" w:space="0" w:color="auto"/>
        <w:bottom w:val="none" w:sz="0" w:space="0" w:color="auto"/>
        <w:right w:val="none" w:sz="0" w:space="0" w:color="auto"/>
      </w:divBdr>
    </w:div>
    <w:div w:id="607544226">
      <w:bodyDiv w:val="1"/>
      <w:marLeft w:val="0"/>
      <w:marRight w:val="0"/>
      <w:marTop w:val="0"/>
      <w:marBottom w:val="0"/>
      <w:divBdr>
        <w:top w:val="none" w:sz="0" w:space="0" w:color="auto"/>
        <w:left w:val="none" w:sz="0" w:space="0" w:color="auto"/>
        <w:bottom w:val="none" w:sz="0" w:space="0" w:color="auto"/>
        <w:right w:val="none" w:sz="0" w:space="0" w:color="auto"/>
      </w:divBdr>
      <w:divsChild>
        <w:div w:id="47692084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92006328">
              <w:marLeft w:val="0"/>
              <w:marRight w:val="0"/>
              <w:marTop w:val="0"/>
              <w:marBottom w:val="0"/>
              <w:divBdr>
                <w:top w:val="none" w:sz="0" w:space="0" w:color="auto"/>
                <w:left w:val="none" w:sz="0" w:space="0" w:color="auto"/>
                <w:bottom w:val="none" w:sz="0" w:space="0" w:color="auto"/>
                <w:right w:val="none" w:sz="0" w:space="0" w:color="auto"/>
              </w:divBdr>
              <w:divsChild>
                <w:div w:id="56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4412">
      <w:bodyDiv w:val="1"/>
      <w:marLeft w:val="0"/>
      <w:marRight w:val="0"/>
      <w:marTop w:val="0"/>
      <w:marBottom w:val="0"/>
      <w:divBdr>
        <w:top w:val="none" w:sz="0" w:space="0" w:color="auto"/>
        <w:left w:val="none" w:sz="0" w:space="0" w:color="auto"/>
        <w:bottom w:val="none" w:sz="0" w:space="0" w:color="auto"/>
        <w:right w:val="none" w:sz="0" w:space="0" w:color="auto"/>
      </w:divBdr>
    </w:div>
    <w:div w:id="930894443">
      <w:bodyDiv w:val="1"/>
      <w:marLeft w:val="0"/>
      <w:marRight w:val="0"/>
      <w:marTop w:val="0"/>
      <w:marBottom w:val="0"/>
      <w:divBdr>
        <w:top w:val="none" w:sz="0" w:space="0" w:color="auto"/>
        <w:left w:val="none" w:sz="0" w:space="0" w:color="auto"/>
        <w:bottom w:val="none" w:sz="0" w:space="0" w:color="auto"/>
        <w:right w:val="none" w:sz="0" w:space="0" w:color="auto"/>
      </w:divBdr>
    </w:div>
    <w:div w:id="1043941424">
      <w:bodyDiv w:val="1"/>
      <w:marLeft w:val="0"/>
      <w:marRight w:val="0"/>
      <w:marTop w:val="0"/>
      <w:marBottom w:val="0"/>
      <w:divBdr>
        <w:top w:val="none" w:sz="0" w:space="0" w:color="auto"/>
        <w:left w:val="none" w:sz="0" w:space="0" w:color="auto"/>
        <w:bottom w:val="none" w:sz="0" w:space="0" w:color="auto"/>
        <w:right w:val="none" w:sz="0" w:space="0" w:color="auto"/>
      </w:divBdr>
    </w:div>
    <w:div w:id="1290473960">
      <w:bodyDiv w:val="1"/>
      <w:marLeft w:val="0"/>
      <w:marRight w:val="0"/>
      <w:marTop w:val="0"/>
      <w:marBottom w:val="0"/>
      <w:divBdr>
        <w:top w:val="none" w:sz="0" w:space="0" w:color="auto"/>
        <w:left w:val="none" w:sz="0" w:space="0" w:color="auto"/>
        <w:bottom w:val="none" w:sz="0" w:space="0" w:color="auto"/>
        <w:right w:val="none" w:sz="0" w:space="0" w:color="auto"/>
      </w:divBdr>
    </w:div>
    <w:div w:id="1556620207">
      <w:bodyDiv w:val="1"/>
      <w:marLeft w:val="0"/>
      <w:marRight w:val="0"/>
      <w:marTop w:val="0"/>
      <w:marBottom w:val="0"/>
      <w:divBdr>
        <w:top w:val="none" w:sz="0" w:space="0" w:color="auto"/>
        <w:left w:val="none" w:sz="0" w:space="0" w:color="auto"/>
        <w:bottom w:val="none" w:sz="0" w:space="0" w:color="auto"/>
        <w:right w:val="none" w:sz="0" w:space="0" w:color="auto"/>
      </w:divBdr>
      <w:divsChild>
        <w:div w:id="126900619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04776825">
              <w:marLeft w:val="0"/>
              <w:marRight w:val="0"/>
              <w:marTop w:val="0"/>
              <w:marBottom w:val="0"/>
              <w:divBdr>
                <w:top w:val="none" w:sz="0" w:space="0" w:color="auto"/>
                <w:left w:val="none" w:sz="0" w:space="0" w:color="auto"/>
                <w:bottom w:val="none" w:sz="0" w:space="0" w:color="auto"/>
                <w:right w:val="none" w:sz="0" w:space="0" w:color="auto"/>
              </w:divBdr>
              <w:divsChild>
                <w:div w:id="999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7175">
      <w:bodyDiv w:val="1"/>
      <w:marLeft w:val="0"/>
      <w:marRight w:val="0"/>
      <w:marTop w:val="0"/>
      <w:marBottom w:val="0"/>
      <w:divBdr>
        <w:top w:val="none" w:sz="0" w:space="0" w:color="auto"/>
        <w:left w:val="none" w:sz="0" w:space="0" w:color="auto"/>
        <w:bottom w:val="none" w:sz="0" w:space="0" w:color="auto"/>
        <w:right w:val="none" w:sz="0" w:space="0" w:color="auto"/>
      </w:divBdr>
    </w:div>
    <w:div w:id="1706834232">
      <w:bodyDiv w:val="1"/>
      <w:marLeft w:val="0"/>
      <w:marRight w:val="0"/>
      <w:marTop w:val="0"/>
      <w:marBottom w:val="0"/>
      <w:divBdr>
        <w:top w:val="none" w:sz="0" w:space="0" w:color="auto"/>
        <w:left w:val="none" w:sz="0" w:space="0" w:color="auto"/>
        <w:bottom w:val="none" w:sz="0" w:space="0" w:color="auto"/>
        <w:right w:val="none" w:sz="0" w:space="0" w:color="auto"/>
      </w:divBdr>
    </w:div>
    <w:div w:id="1736663550">
      <w:bodyDiv w:val="1"/>
      <w:marLeft w:val="0"/>
      <w:marRight w:val="0"/>
      <w:marTop w:val="0"/>
      <w:marBottom w:val="0"/>
      <w:divBdr>
        <w:top w:val="none" w:sz="0" w:space="0" w:color="auto"/>
        <w:left w:val="none" w:sz="0" w:space="0" w:color="auto"/>
        <w:bottom w:val="none" w:sz="0" w:space="0" w:color="auto"/>
        <w:right w:val="none" w:sz="0" w:space="0" w:color="auto"/>
      </w:divBdr>
    </w:div>
    <w:div w:id="17934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Periquito Pérez</dc:creator>
  <cp:keywords/>
  <dc:description/>
  <cp:lastModifiedBy>Periquito Pérez</cp:lastModifiedBy>
  <cp:revision>4</cp:revision>
  <dcterms:created xsi:type="dcterms:W3CDTF">2023-02-23T10:48:00Z</dcterms:created>
  <dcterms:modified xsi:type="dcterms:W3CDTF">2023-02-23T10:51:00Z</dcterms:modified>
</cp:coreProperties>
</file>